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B49" w:rsidRPr="006B6E89" w:rsidRDefault="00FB2D55" w:rsidP="006B6E89">
      <w:pPr>
        <w:spacing w:after="0" w:line="240" w:lineRule="auto"/>
        <w:jc w:val="right"/>
        <w:rPr>
          <w:rFonts w:ascii="Calibri" w:hAnsi="Calibri" w:cs="Calibri"/>
          <w:bCs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bCs/>
          <w:sz w:val="20"/>
          <w:szCs w:val="20"/>
        </w:rPr>
        <w:t>09.2023</w:t>
      </w:r>
    </w:p>
    <w:p w:rsidR="00D902CA" w:rsidRPr="00E20662" w:rsidRDefault="00D902CA" w:rsidP="00D902CA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E20662">
        <w:rPr>
          <w:rFonts w:ascii="Calibri" w:hAnsi="Calibri" w:cs="Calibri"/>
          <w:b/>
          <w:sz w:val="28"/>
          <w:szCs w:val="28"/>
        </w:rPr>
        <w:t xml:space="preserve">ZAŁĄCZNIK NR </w:t>
      </w:r>
      <w:r w:rsidR="00E07C35" w:rsidRPr="00E20662">
        <w:rPr>
          <w:rFonts w:ascii="Calibri" w:hAnsi="Calibri" w:cs="Calibri"/>
          <w:b/>
          <w:sz w:val="28"/>
          <w:szCs w:val="28"/>
        </w:rPr>
        <w:t>2</w:t>
      </w:r>
    </w:p>
    <w:p w:rsidR="00D902CA" w:rsidRPr="00E20662" w:rsidRDefault="00D902CA" w:rsidP="00D902CA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DB66D5" w:rsidRPr="00E20662" w:rsidRDefault="00DB66D5" w:rsidP="00D902CA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E20662">
        <w:rPr>
          <w:rFonts w:ascii="Calibri" w:hAnsi="Calibri" w:cs="Calibri"/>
          <w:b/>
          <w:sz w:val="28"/>
          <w:szCs w:val="28"/>
        </w:rPr>
        <w:t>PROSPEKT INFORMACYJNY</w:t>
      </w:r>
    </w:p>
    <w:p w:rsidR="00DB66D5" w:rsidRPr="00E20662" w:rsidRDefault="00DB66D5" w:rsidP="00D902CA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5468D4" w:rsidRPr="00E20662" w:rsidRDefault="00A716FF" w:rsidP="00D902CA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E20662">
        <w:rPr>
          <w:rFonts w:ascii="Calibri" w:hAnsi="Calibri" w:cs="Calibri"/>
          <w:b/>
          <w:sz w:val="28"/>
          <w:szCs w:val="28"/>
        </w:rPr>
        <w:t>„</w:t>
      </w:r>
      <w:r w:rsidR="009F1975">
        <w:rPr>
          <w:rFonts w:ascii="Calibri" w:hAnsi="Calibri" w:cs="Calibri"/>
          <w:b/>
          <w:sz w:val="28"/>
          <w:szCs w:val="28"/>
        </w:rPr>
        <w:t>Przy Dolinie</w:t>
      </w:r>
      <w:r w:rsidRPr="00E20662">
        <w:rPr>
          <w:rFonts w:ascii="Calibri" w:hAnsi="Calibri" w:cs="Calibri"/>
          <w:b/>
          <w:sz w:val="28"/>
          <w:szCs w:val="28"/>
        </w:rPr>
        <w:t>”</w:t>
      </w:r>
    </w:p>
    <w:p w:rsidR="00197C87" w:rsidRPr="00E20662" w:rsidRDefault="00197C87" w:rsidP="00D902CA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E20662">
        <w:rPr>
          <w:rFonts w:ascii="Calibri" w:hAnsi="Calibri" w:cs="Calibri"/>
          <w:b/>
          <w:sz w:val="28"/>
          <w:szCs w:val="28"/>
        </w:rPr>
        <w:t>ul. Okrzei, Kielce</w:t>
      </w:r>
    </w:p>
    <w:p w:rsidR="00A716FF" w:rsidRPr="00E20662" w:rsidRDefault="00A716FF" w:rsidP="00D902CA">
      <w:pPr>
        <w:spacing w:after="0" w:line="240" w:lineRule="auto"/>
        <w:jc w:val="center"/>
        <w:rPr>
          <w:rFonts w:ascii="Calibri" w:hAnsi="Calibri" w:cs="Calibri"/>
          <w:b/>
          <w:sz w:val="19"/>
          <w:szCs w:val="19"/>
        </w:rPr>
      </w:pPr>
      <w:r w:rsidRPr="00E20662">
        <w:rPr>
          <w:rFonts w:ascii="Calibri" w:hAnsi="Calibri" w:cs="Calibri"/>
          <w:b/>
          <w:sz w:val="19"/>
          <w:szCs w:val="19"/>
        </w:rPr>
        <w:tab/>
      </w:r>
      <w:r w:rsidRPr="00E20662">
        <w:rPr>
          <w:rFonts w:ascii="Calibri" w:hAnsi="Calibri" w:cs="Calibri"/>
          <w:b/>
          <w:sz w:val="19"/>
          <w:szCs w:val="19"/>
        </w:rPr>
        <w:tab/>
      </w:r>
    </w:p>
    <w:p w:rsidR="00A716FF" w:rsidRPr="00E20662" w:rsidRDefault="00A716FF" w:rsidP="00C10717">
      <w:pPr>
        <w:spacing w:after="0" w:line="240" w:lineRule="auto"/>
        <w:rPr>
          <w:rFonts w:ascii="Calibri" w:hAnsi="Calibri" w:cs="Calibri"/>
          <w:b/>
          <w:sz w:val="19"/>
          <w:szCs w:val="19"/>
        </w:rPr>
      </w:pPr>
    </w:p>
    <w:p w:rsidR="00A716FF" w:rsidRPr="00E20662" w:rsidRDefault="00A716FF" w:rsidP="00D902CA">
      <w:pPr>
        <w:spacing w:after="0" w:line="240" w:lineRule="auto"/>
        <w:jc w:val="center"/>
        <w:rPr>
          <w:rFonts w:ascii="Calibri" w:hAnsi="Calibri" w:cs="Calibri"/>
          <w:b/>
          <w:sz w:val="19"/>
          <w:szCs w:val="19"/>
        </w:rPr>
      </w:pPr>
    </w:p>
    <w:p w:rsidR="00A716FF" w:rsidRPr="00E20662" w:rsidRDefault="00A716FF" w:rsidP="00D902CA">
      <w:pPr>
        <w:spacing w:after="0" w:line="240" w:lineRule="auto"/>
        <w:jc w:val="center"/>
        <w:rPr>
          <w:rFonts w:ascii="Calibri" w:hAnsi="Calibri" w:cs="Calibri"/>
          <w:b/>
          <w:noProof/>
          <w:sz w:val="19"/>
          <w:szCs w:val="19"/>
          <w:lang w:eastAsia="pl-PL"/>
        </w:rPr>
      </w:pPr>
    </w:p>
    <w:p w:rsidR="00F20DC2" w:rsidRPr="00E20662" w:rsidRDefault="00F20DC2" w:rsidP="00D902CA">
      <w:pPr>
        <w:spacing w:after="0" w:line="240" w:lineRule="auto"/>
        <w:jc w:val="center"/>
        <w:rPr>
          <w:rFonts w:ascii="Calibri" w:hAnsi="Calibri" w:cs="Calibri"/>
          <w:b/>
          <w:noProof/>
          <w:sz w:val="19"/>
          <w:szCs w:val="19"/>
          <w:lang w:eastAsia="pl-PL"/>
        </w:rPr>
      </w:pPr>
    </w:p>
    <w:p w:rsidR="00F20DC2" w:rsidRPr="00E20662" w:rsidRDefault="00F20DC2" w:rsidP="00D902CA">
      <w:pPr>
        <w:spacing w:after="0" w:line="240" w:lineRule="auto"/>
        <w:jc w:val="center"/>
        <w:rPr>
          <w:rFonts w:ascii="Calibri" w:hAnsi="Calibri" w:cs="Calibri"/>
          <w:b/>
          <w:noProof/>
          <w:sz w:val="19"/>
          <w:szCs w:val="19"/>
          <w:lang w:eastAsia="pl-PL"/>
        </w:rPr>
      </w:pPr>
    </w:p>
    <w:p w:rsidR="00F20DC2" w:rsidRPr="00E20662" w:rsidRDefault="00F20DC2" w:rsidP="00D902CA">
      <w:pPr>
        <w:spacing w:after="0" w:line="240" w:lineRule="auto"/>
        <w:jc w:val="center"/>
        <w:rPr>
          <w:rFonts w:ascii="Calibri" w:hAnsi="Calibri" w:cs="Calibri"/>
          <w:b/>
          <w:noProof/>
          <w:sz w:val="19"/>
          <w:szCs w:val="19"/>
          <w:lang w:eastAsia="pl-PL"/>
        </w:rPr>
      </w:pPr>
    </w:p>
    <w:p w:rsidR="00F20DC2" w:rsidRPr="00E20662" w:rsidRDefault="00F20DC2" w:rsidP="00D902CA">
      <w:pPr>
        <w:spacing w:after="0" w:line="240" w:lineRule="auto"/>
        <w:jc w:val="center"/>
        <w:rPr>
          <w:rFonts w:ascii="Calibri" w:hAnsi="Calibri" w:cs="Calibri"/>
          <w:b/>
          <w:noProof/>
          <w:sz w:val="19"/>
          <w:szCs w:val="19"/>
          <w:lang w:eastAsia="pl-PL"/>
        </w:rPr>
      </w:pPr>
    </w:p>
    <w:p w:rsidR="00F20DC2" w:rsidRPr="00E20662" w:rsidRDefault="00181298" w:rsidP="00D902CA">
      <w:pPr>
        <w:spacing w:after="0" w:line="240" w:lineRule="auto"/>
        <w:jc w:val="center"/>
        <w:rPr>
          <w:rFonts w:ascii="Calibri" w:hAnsi="Calibri" w:cs="Calibri"/>
          <w:b/>
          <w:noProof/>
          <w:sz w:val="19"/>
          <w:szCs w:val="19"/>
          <w:lang w:eastAsia="pl-PL"/>
        </w:rPr>
      </w:pPr>
      <w:r w:rsidRPr="00181298">
        <w:rPr>
          <w:rFonts w:ascii="Calibri" w:hAnsi="Calibri" w:cs="Calibri"/>
          <w:b/>
          <w:noProof/>
          <w:sz w:val="19"/>
          <w:szCs w:val="19"/>
          <w:lang w:val="en-US"/>
        </w:rPr>
        <w:drawing>
          <wp:inline distT="0" distB="0" distL="0" distR="0">
            <wp:extent cx="6019800" cy="3629025"/>
            <wp:effectExtent l="0" t="0" r="0" b="0"/>
            <wp:docPr id="1" name="Obraz 1" descr="Z:\PLANOWANE\Okrzei, Kielce\WIZUALIZACJE\KĄPIELOWA-WIZUALIZACJE\ujecie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:\PLANOWANE\Okrzei, Kielce\WIZUALIZACJE\KĄPIELOWA-WIZUALIZACJE\ujecie2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DC2" w:rsidRPr="00E20662" w:rsidRDefault="00F20DC2" w:rsidP="00D902CA">
      <w:pPr>
        <w:spacing w:after="0" w:line="240" w:lineRule="auto"/>
        <w:jc w:val="center"/>
        <w:rPr>
          <w:rFonts w:ascii="Calibri" w:hAnsi="Calibri" w:cs="Calibri"/>
          <w:b/>
          <w:noProof/>
          <w:sz w:val="19"/>
          <w:szCs w:val="19"/>
          <w:lang w:eastAsia="pl-PL"/>
        </w:rPr>
      </w:pPr>
    </w:p>
    <w:p w:rsidR="00F20DC2" w:rsidRPr="00E20662" w:rsidRDefault="00F20DC2" w:rsidP="00D902CA">
      <w:pPr>
        <w:spacing w:after="0" w:line="240" w:lineRule="auto"/>
        <w:jc w:val="center"/>
        <w:rPr>
          <w:rFonts w:ascii="Calibri" w:hAnsi="Calibri" w:cs="Calibri"/>
          <w:b/>
          <w:noProof/>
          <w:sz w:val="19"/>
          <w:szCs w:val="19"/>
          <w:lang w:eastAsia="pl-PL"/>
        </w:rPr>
      </w:pPr>
    </w:p>
    <w:p w:rsidR="00F20DC2" w:rsidRPr="00E20662" w:rsidRDefault="00F20DC2" w:rsidP="00D902CA">
      <w:pPr>
        <w:spacing w:after="0" w:line="240" w:lineRule="auto"/>
        <w:jc w:val="center"/>
        <w:rPr>
          <w:rFonts w:ascii="Calibri" w:hAnsi="Calibri" w:cs="Calibri"/>
          <w:b/>
          <w:noProof/>
          <w:sz w:val="19"/>
          <w:szCs w:val="19"/>
          <w:lang w:eastAsia="pl-PL"/>
        </w:rPr>
      </w:pPr>
    </w:p>
    <w:p w:rsidR="00F20DC2" w:rsidRPr="00E20662" w:rsidRDefault="00F20DC2" w:rsidP="00D902CA">
      <w:pPr>
        <w:spacing w:after="0" w:line="240" w:lineRule="auto"/>
        <w:jc w:val="center"/>
        <w:rPr>
          <w:rFonts w:ascii="Calibri" w:hAnsi="Calibri" w:cs="Calibri"/>
          <w:b/>
          <w:noProof/>
          <w:sz w:val="19"/>
          <w:szCs w:val="19"/>
          <w:lang w:eastAsia="pl-PL"/>
        </w:rPr>
      </w:pPr>
    </w:p>
    <w:p w:rsidR="00F20DC2" w:rsidRPr="00E20662" w:rsidRDefault="00F20DC2" w:rsidP="00D902CA">
      <w:pPr>
        <w:spacing w:after="0" w:line="240" w:lineRule="auto"/>
        <w:jc w:val="center"/>
        <w:rPr>
          <w:rFonts w:ascii="Calibri" w:hAnsi="Calibri" w:cs="Calibri"/>
          <w:b/>
          <w:noProof/>
          <w:sz w:val="19"/>
          <w:szCs w:val="19"/>
          <w:lang w:eastAsia="pl-PL"/>
        </w:rPr>
      </w:pPr>
    </w:p>
    <w:p w:rsidR="00F20DC2" w:rsidRPr="00E20662" w:rsidRDefault="00F20DC2" w:rsidP="00D902CA">
      <w:pPr>
        <w:spacing w:after="0" w:line="240" w:lineRule="auto"/>
        <w:jc w:val="center"/>
        <w:rPr>
          <w:rFonts w:ascii="Calibri" w:hAnsi="Calibri" w:cs="Calibri"/>
          <w:b/>
          <w:noProof/>
          <w:sz w:val="19"/>
          <w:szCs w:val="19"/>
          <w:lang w:eastAsia="pl-PL"/>
        </w:rPr>
      </w:pPr>
    </w:p>
    <w:p w:rsidR="00F20DC2" w:rsidRPr="00E20662" w:rsidRDefault="00F20DC2" w:rsidP="00D902CA">
      <w:pPr>
        <w:spacing w:after="0" w:line="240" w:lineRule="auto"/>
        <w:jc w:val="center"/>
        <w:rPr>
          <w:rFonts w:ascii="Calibri" w:hAnsi="Calibri" w:cs="Calibri"/>
          <w:b/>
          <w:noProof/>
          <w:sz w:val="19"/>
          <w:szCs w:val="19"/>
          <w:lang w:eastAsia="pl-PL"/>
        </w:rPr>
      </w:pPr>
    </w:p>
    <w:p w:rsidR="00F20DC2" w:rsidRPr="00E20662" w:rsidRDefault="00F20DC2" w:rsidP="00D902CA">
      <w:pPr>
        <w:spacing w:after="0" w:line="240" w:lineRule="auto"/>
        <w:jc w:val="center"/>
        <w:rPr>
          <w:rFonts w:ascii="Calibri" w:hAnsi="Calibri" w:cs="Calibri"/>
          <w:b/>
          <w:noProof/>
          <w:sz w:val="19"/>
          <w:szCs w:val="19"/>
          <w:lang w:eastAsia="pl-PL"/>
        </w:rPr>
      </w:pPr>
    </w:p>
    <w:p w:rsidR="00F20DC2" w:rsidRPr="00E20662" w:rsidRDefault="00F20DC2" w:rsidP="00D902CA">
      <w:pPr>
        <w:spacing w:after="0" w:line="240" w:lineRule="auto"/>
        <w:jc w:val="center"/>
        <w:rPr>
          <w:rFonts w:ascii="Calibri" w:hAnsi="Calibri" w:cs="Calibri"/>
          <w:b/>
          <w:noProof/>
          <w:sz w:val="19"/>
          <w:szCs w:val="19"/>
          <w:lang w:eastAsia="pl-PL"/>
        </w:rPr>
      </w:pPr>
    </w:p>
    <w:p w:rsidR="00F20DC2" w:rsidRPr="00E20662" w:rsidRDefault="00F20DC2" w:rsidP="00D902CA">
      <w:pPr>
        <w:spacing w:after="0" w:line="240" w:lineRule="auto"/>
        <w:jc w:val="center"/>
        <w:rPr>
          <w:rFonts w:ascii="Calibri" w:hAnsi="Calibri" w:cs="Calibri"/>
          <w:b/>
          <w:noProof/>
          <w:sz w:val="19"/>
          <w:szCs w:val="19"/>
          <w:lang w:eastAsia="pl-PL"/>
        </w:rPr>
      </w:pPr>
    </w:p>
    <w:p w:rsidR="00F20DC2" w:rsidRPr="00E20662" w:rsidRDefault="00F20DC2" w:rsidP="00D902CA">
      <w:pPr>
        <w:spacing w:after="0" w:line="240" w:lineRule="auto"/>
        <w:jc w:val="center"/>
        <w:rPr>
          <w:rFonts w:ascii="Calibri" w:hAnsi="Calibri" w:cs="Calibri"/>
          <w:b/>
          <w:noProof/>
          <w:sz w:val="19"/>
          <w:szCs w:val="19"/>
          <w:lang w:eastAsia="pl-PL"/>
        </w:rPr>
      </w:pPr>
    </w:p>
    <w:p w:rsidR="00F20DC2" w:rsidRPr="00E20662" w:rsidRDefault="00F20DC2" w:rsidP="00D902CA">
      <w:pPr>
        <w:spacing w:after="0" w:line="240" w:lineRule="auto"/>
        <w:jc w:val="center"/>
        <w:rPr>
          <w:rFonts w:ascii="Calibri" w:hAnsi="Calibri" w:cs="Calibri"/>
          <w:b/>
          <w:noProof/>
          <w:sz w:val="19"/>
          <w:szCs w:val="19"/>
          <w:lang w:eastAsia="pl-PL"/>
        </w:rPr>
      </w:pPr>
    </w:p>
    <w:p w:rsidR="00F20DC2" w:rsidRPr="00E20662" w:rsidRDefault="00F20DC2" w:rsidP="00D902CA">
      <w:pPr>
        <w:spacing w:after="0" w:line="240" w:lineRule="auto"/>
        <w:jc w:val="center"/>
        <w:rPr>
          <w:rFonts w:ascii="Calibri" w:hAnsi="Calibri" w:cs="Calibri"/>
          <w:b/>
          <w:noProof/>
          <w:sz w:val="19"/>
          <w:szCs w:val="19"/>
          <w:lang w:eastAsia="pl-PL"/>
        </w:rPr>
      </w:pPr>
    </w:p>
    <w:p w:rsidR="00F20DC2" w:rsidRPr="00E20662" w:rsidRDefault="00F20DC2" w:rsidP="00D902CA">
      <w:pPr>
        <w:spacing w:after="0" w:line="240" w:lineRule="auto"/>
        <w:jc w:val="center"/>
        <w:rPr>
          <w:rFonts w:ascii="Calibri" w:hAnsi="Calibri" w:cs="Calibri"/>
          <w:b/>
          <w:sz w:val="19"/>
          <w:szCs w:val="19"/>
        </w:rPr>
      </w:pPr>
    </w:p>
    <w:p w:rsidR="00A716FF" w:rsidRPr="00E20662" w:rsidRDefault="00A716FF" w:rsidP="00D902CA">
      <w:pPr>
        <w:spacing w:after="0" w:line="240" w:lineRule="auto"/>
        <w:jc w:val="center"/>
        <w:rPr>
          <w:rFonts w:ascii="Calibri" w:hAnsi="Calibri" w:cs="Calibri"/>
          <w:b/>
          <w:sz w:val="19"/>
          <w:szCs w:val="19"/>
        </w:rPr>
      </w:pPr>
    </w:p>
    <w:p w:rsidR="00A716FF" w:rsidRPr="00E20662" w:rsidRDefault="00A716FF" w:rsidP="00D902CA">
      <w:pPr>
        <w:spacing w:after="0" w:line="240" w:lineRule="auto"/>
        <w:jc w:val="center"/>
        <w:rPr>
          <w:rFonts w:ascii="Calibri" w:hAnsi="Calibri" w:cs="Calibri"/>
          <w:b/>
          <w:sz w:val="19"/>
          <w:szCs w:val="19"/>
        </w:rPr>
      </w:pPr>
    </w:p>
    <w:p w:rsidR="00A716FF" w:rsidRPr="00E20662" w:rsidRDefault="00A716FF" w:rsidP="00D902CA">
      <w:pPr>
        <w:spacing w:after="0" w:line="240" w:lineRule="auto"/>
        <w:jc w:val="center"/>
        <w:rPr>
          <w:rFonts w:ascii="Calibri" w:hAnsi="Calibri" w:cs="Calibri"/>
          <w:b/>
          <w:noProof/>
          <w:sz w:val="19"/>
          <w:szCs w:val="19"/>
          <w:lang w:eastAsia="pl-PL"/>
        </w:rPr>
      </w:pPr>
    </w:p>
    <w:p w:rsidR="0020558F" w:rsidRPr="00E20662" w:rsidRDefault="0020558F" w:rsidP="00D902CA">
      <w:pPr>
        <w:spacing w:after="0" w:line="240" w:lineRule="auto"/>
        <w:jc w:val="center"/>
        <w:rPr>
          <w:rFonts w:ascii="Calibri" w:hAnsi="Calibri" w:cs="Calibri"/>
          <w:b/>
          <w:noProof/>
          <w:sz w:val="19"/>
          <w:szCs w:val="19"/>
          <w:lang w:eastAsia="pl-PL"/>
        </w:rPr>
      </w:pPr>
    </w:p>
    <w:p w:rsidR="0020558F" w:rsidRPr="00E20662" w:rsidRDefault="0020558F" w:rsidP="00D902CA">
      <w:pPr>
        <w:spacing w:after="0" w:line="240" w:lineRule="auto"/>
        <w:jc w:val="center"/>
        <w:rPr>
          <w:rFonts w:ascii="Calibri" w:hAnsi="Calibri" w:cs="Calibri"/>
          <w:b/>
          <w:noProof/>
          <w:sz w:val="19"/>
          <w:szCs w:val="19"/>
          <w:lang w:eastAsia="pl-PL"/>
        </w:rPr>
      </w:pPr>
    </w:p>
    <w:p w:rsidR="0020558F" w:rsidRPr="00E20662" w:rsidRDefault="0020558F" w:rsidP="009F1975">
      <w:pPr>
        <w:spacing w:after="0" w:line="240" w:lineRule="auto"/>
        <w:rPr>
          <w:rFonts w:ascii="Calibri" w:hAnsi="Calibri" w:cs="Calibri"/>
          <w:b/>
          <w:sz w:val="19"/>
          <w:szCs w:val="19"/>
        </w:rPr>
      </w:pPr>
    </w:p>
    <w:p w:rsidR="00DB66D5" w:rsidRPr="00E20662" w:rsidRDefault="00DB66D5" w:rsidP="00D902CA">
      <w:pPr>
        <w:spacing w:after="0" w:line="240" w:lineRule="auto"/>
        <w:rPr>
          <w:rFonts w:ascii="Calibri" w:hAnsi="Calibri" w:cs="Calibri"/>
          <w:b/>
          <w:sz w:val="19"/>
          <w:szCs w:val="19"/>
        </w:rPr>
      </w:pPr>
    </w:p>
    <w:p w:rsidR="00197C87" w:rsidRPr="00E20662" w:rsidRDefault="00197C87" w:rsidP="00D902CA">
      <w:pPr>
        <w:spacing w:after="0" w:line="240" w:lineRule="auto"/>
        <w:rPr>
          <w:rFonts w:ascii="Calibri" w:hAnsi="Calibri" w:cs="Calibri"/>
          <w:b/>
          <w:sz w:val="19"/>
          <w:szCs w:val="19"/>
        </w:rPr>
      </w:pPr>
    </w:p>
    <w:p w:rsidR="00DB66D5" w:rsidRPr="00E20662" w:rsidRDefault="00DB66D5" w:rsidP="00D902CA">
      <w:pPr>
        <w:spacing w:after="0" w:line="240" w:lineRule="auto"/>
        <w:rPr>
          <w:rFonts w:ascii="Calibri" w:hAnsi="Calibri" w:cs="Calibri"/>
          <w:b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94"/>
        <w:gridCol w:w="1417"/>
        <w:gridCol w:w="1510"/>
        <w:gridCol w:w="568"/>
        <w:gridCol w:w="187"/>
        <w:gridCol w:w="854"/>
        <w:gridCol w:w="2126"/>
      </w:tblGrid>
      <w:tr w:rsidR="00E20662" w:rsidRPr="00E20662" w:rsidTr="003B1070">
        <w:trPr>
          <w:trHeight w:val="416"/>
        </w:trPr>
        <w:tc>
          <w:tcPr>
            <w:tcW w:w="9776" w:type="dxa"/>
            <w:gridSpan w:val="8"/>
            <w:vAlign w:val="center"/>
          </w:tcPr>
          <w:p w:rsidR="00DB66D5" w:rsidRPr="00E20662" w:rsidRDefault="00DB66D5" w:rsidP="00D902CA">
            <w:pPr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</w:rPr>
              <w:t>CZĘŚĆ OGÓLNA</w:t>
            </w:r>
          </w:p>
        </w:tc>
      </w:tr>
      <w:tr w:rsidR="00E20662" w:rsidRPr="00E20662" w:rsidTr="003B1070">
        <w:trPr>
          <w:cantSplit/>
          <w:trHeight w:val="421"/>
        </w:trPr>
        <w:tc>
          <w:tcPr>
            <w:tcW w:w="9776" w:type="dxa"/>
            <w:gridSpan w:val="8"/>
            <w:vAlign w:val="center"/>
          </w:tcPr>
          <w:p w:rsidR="00DB66D5" w:rsidRPr="00E20662" w:rsidRDefault="00DB66D5" w:rsidP="003B107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</w:rPr>
              <w:t>DANE IDENTYFIKACYJNE I KONTAKTOWE DEWELOPERA</w:t>
            </w:r>
          </w:p>
        </w:tc>
      </w:tr>
      <w:tr w:rsidR="00E20662" w:rsidRPr="00E20662" w:rsidTr="003B1070">
        <w:trPr>
          <w:cantSplit/>
          <w:trHeight w:val="413"/>
        </w:trPr>
        <w:tc>
          <w:tcPr>
            <w:tcW w:w="9776" w:type="dxa"/>
            <w:gridSpan w:val="8"/>
            <w:vAlign w:val="center"/>
          </w:tcPr>
          <w:p w:rsidR="00DB66D5" w:rsidRPr="00E20662" w:rsidRDefault="00DB66D5" w:rsidP="00D902CA">
            <w:pPr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</w:rPr>
              <w:t>DANE DEWELOPERA</w:t>
            </w:r>
          </w:p>
        </w:tc>
      </w:tr>
      <w:tr w:rsidR="00E20662" w:rsidRPr="00E20662" w:rsidTr="00D902CA">
        <w:trPr>
          <w:trHeight w:val="598"/>
        </w:trPr>
        <w:tc>
          <w:tcPr>
            <w:tcW w:w="3114" w:type="dxa"/>
            <w:gridSpan w:val="2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Deweloper</w:t>
            </w:r>
          </w:p>
        </w:tc>
        <w:tc>
          <w:tcPr>
            <w:tcW w:w="6662" w:type="dxa"/>
            <w:gridSpan w:val="6"/>
            <w:vAlign w:val="center"/>
          </w:tcPr>
          <w:p w:rsidR="00A716FF" w:rsidRPr="00E20662" w:rsidRDefault="008D765D" w:rsidP="00D902CA">
            <w:pPr>
              <w:rPr>
                <w:rFonts w:ascii="Calibri" w:hAnsi="Calibri" w:cs="Calibri"/>
                <w:sz w:val="19"/>
                <w:szCs w:val="19"/>
              </w:rPr>
            </w:pPr>
            <w:bookmarkStart w:id="1" w:name="_Hlk8819426"/>
            <w:r w:rsidRPr="00E20662">
              <w:rPr>
                <w:rFonts w:ascii="Calibri" w:hAnsi="Calibri" w:cs="Calibri"/>
                <w:sz w:val="19"/>
                <w:szCs w:val="19"/>
              </w:rPr>
              <w:t xml:space="preserve">EKO-INVEST PLUS </w:t>
            </w:r>
            <w:r w:rsidR="00A716FF" w:rsidRPr="00E20662">
              <w:rPr>
                <w:rFonts w:ascii="Calibri" w:hAnsi="Calibri" w:cs="Calibri"/>
                <w:sz w:val="19"/>
                <w:szCs w:val="19"/>
              </w:rPr>
              <w:t>Spółka z ograniczoną odpowiedzialnością</w:t>
            </w:r>
          </w:p>
          <w:p w:rsidR="00DB66D5" w:rsidRPr="00E20662" w:rsidRDefault="00DB66D5" w:rsidP="008D765D">
            <w:pPr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 xml:space="preserve">Wpisana do rejestru przedsiębiorców przez Sąd Rejonowy w Kielcach, X Wydział Gospodarczy Krajowego Rejestru Sądowego pod numerem KRS: </w:t>
            </w:r>
            <w:bookmarkEnd w:id="1"/>
            <w:r w:rsidR="008D765D" w:rsidRPr="00E20662">
              <w:rPr>
                <w:rFonts w:ascii="Calibri" w:hAnsi="Calibri" w:cs="Calibri"/>
                <w:sz w:val="19"/>
                <w:szCs w:val="19"/>
              </w:rPr>
              <w:t>0000904722</w:t>
            </w:r>
          </w:p>
        </w:tc>
      </w:tr>
      <w:tr w:rsidR="00E20662" w:rsidRPr="00E20662" w:rsidTr="00D902CA">
        <w:trPr>
          <w:trHeight w:val="598"/>
        </w:trPr>
        <w:tc>
          <w:tcPr>
            <w:tcW w:w="3114" w:type="dxa"/>
            <w:gridSpan w:val="2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Adres</w:t>
            </w:r>
          </w:p>
        </w:tc>
        <w:tc>
          <w:tcPr>
            <w:tcW w:w="6662" w:type="dxa"/>
            <w:gridSpan w:val="6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ul. Batalionów Chłopskich 5A, 25-671 Kielce</w:t>
            </w:r>
          </w:p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Biuro: Al. Solidarności 21B</w:t>
            </w:r>
          </w:p>
        </w:tc>
      </w:tr>
      <w:tr w:rsidR="00E20662" w:rsidRPr="00E20662" w:rsidTr="003B1070">
        <w:trPr>
          <w:trHeight w:val="427"/>
        </w:trPr>
        <w:tc>
          <w:tcPr>
            <w:tcW w:w="3114" w:type="dxa"/>
            <w:gridSpan w:val="2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NIP, REGON</w:t>
            </w:r>
          </w:p>
        </w:tc>
        <w:tc>
          <w:tcPr>
            <w:tcW w:w="6662" w:type="dxa"/>
            <w:gridSpan w:val="6"/>
            <w:vAlign w:val="center"/>
          </w:tcPr>
          <w:p w:rsidR="00DB66D5" w:rsidRPr="00E20662" w:rsidRDefault="00DB66D5" w:rsidP="008D765D">
            <w:pPr>
              <w:rPr>
                <w:rFonts w:ascii="Calibri" w:hAnsi="Calibri" w:cs="Calibri"/>
                <w:sz w:val="19"/>
                <w:szCs w:val="19"/>
              </w:rPr>
            </w:pPr>
            <w:bookmarkStart w:id="2" w:name="_Hlk8819479"/>
            <w:r w:rsidRPr="00E20662">
              <w:rPr>
                <w:rFonts w:ascii="Calibri" w:hAnsi="Calibri" w:cs="Calibri"/>
                <w:sz w:val="19"/>
                <w:szCs w:val="19"/>
              </w:rPr>
              <w:t xml:space="preserve">NIP: </w:t>
            </w:r>
            <w:r w:rsidR="008D765D" w:rsidRPr="00E20662">
              <w:rPr>
                <w:rFonts w:ascii="Calibri" w:hAnsi="Calibri" w:cs="Calibri"/>
                <w:sz w:val="19"/>
                <w:szCs w:val="19"/>
              </w:rPr>
              <w:t>959 204 31 36</w:t>
            </w:r>
            <w:r w:rsidRPr="00E20662">
              <w:rPr>
                <w:rFonts w:ascii="Calibri" w:hAnsi="Calibri" w:cs="Calibri"/>
                <w:sz w:val="19"/>
                <w:szCs w:val="19"/>
              </w:rPr>
              <w:t xml:space="preserve">            REGON: </w:t>
            </w:r>
            <w:bookmarkEnd w:id="2"/>
            <w:r w:rsidR="008D765D" w:rsidRPr="00E20662">
              <w:rPr>
                <w:rFonts w:ascii="Calibri" w:hAnsi="Calibri" w:cs="Calibri"/>
                <w:sz w:val="19"/>
                <w:szCs w:val="19"/>
              </w:rPr>
              <w:t>389106062</w:t>
            </w:r>
          </w:p>
        </w:tc>
      </w:tr>
      <w:tr w:rsidR="00E20662" w:rsidRPr="00E20662" w:rsidTr="003B1070">
        <w:trPr>
          <w:trHeight w:val="404"/>
        </w:trPr>
        <w:tc>
          <w:tcPr>
            <w:tcW w:w="3114" w:type="dxa"/>
            <w:gridSpan w:val="2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Numer telefonu</w:t>
            </w:r>
          </w:p>
        </w:tc>
        <w:tc>
          <w:tcPr>
            <w:tcW w:w="6662" w:type="dxa"/>
            <w:gridSpan w:val="6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607 083 000</w:t>
            </w:r>
          </w:p>
        </w:tc>
      </w:tr>
      <w:tr w:rsidR="00E20662" w:rsidRPr="00E20662" w:rsidTr="003B1070">
        <w:trPr>
          <w:trHeight w:val="424"/>
        </w:trPr>
        <w:tc>
          <w:tcPr>
            <w:tcW w:w="3114" w:type="dxa"/>
            <w:gridSpan w:val="2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Adres poczty elektronicznej</w:t>
            </w:r>
          </w:p>
        </w:tc>
        <w:tc>
          <w:tcPr>
            <w:tcW w:w="6662" w:type="dxa"/>
            <w:gridSpan w:val="6"/>
            <w:vAlign w:val="center"/>
          </w:tcPr>
          <w:p w:rsidR="00DB66D5" w:rsidRPr="00E20662" w:rsidRDefault="00A716FF" w:rsidP="00D902CA">
            <w:pPr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k.walentynowicz@eko-invest.net</w:t>
            </w:r>
          </w:p>
        </w:tc>
      </w:tr>
      <w:tr w:rsidR="00E20662" w:rsidRPr="00E20662" w:rsidTr="003B1070">
        <w:trPr>
          <w:trHeight w:val="416"/>
        </w:trPr>
        <w:tc>
          <w:tcPr>
            <w:tcW w:w="3114" w:type="dxa"/>
            <w:gridSpan w:val="2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Numer faksu</w:t>
            </w:r>
          </w:p>
        </w:tc>
        <w:tc>
          <w:tcPr>
            <w:tcW w:w="6662" w:type="dxa"/>
            <w:gridSpan w:val="6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Brak</w:t>
            </w:r>
          </w:p>
        </w:tc>
      </w:tr>
      <w:tr w:rsidR="00E20662" w:rsidRPr="00E20662" w:rsidTr="003B1070">
        <w:trPr>
          <w:trHeight w:val="409"/>
        </w:trPr>
        <w:tc>
          <w:tcPr>
            <w:tcW w:w="3114" w:type="dxa"/>
            <w:gridSpan w:val="2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Adres strony internetowej</w:t>
            </w:r>
          </w:p>
        </w:tc>
        <w:tc>
          <w:tcPr>
            <w:tcW w:w="6662" w:type="dxa"/>
            <w:gridSpan w:val="6"/>
            <w:vAlign w:val="center"/>
          </w:tcPr>
          <w:p w:rsidR="00DB66D5" w:rsidRPr="00E20662" w:rsidRDefault="00A716FF" w:rsidP="008D765D">
            <w:pPr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https://www.</w:t>
            </w:r>
            <w:r w:rsidR="008D765D" w:rsidRPr="00E20662">
              <w:rPr>
                <w:rFonts w:ascii="Calibri" w:hAnsi="Calibri" w:cs="Calibri"/>
                <w:sz w:val="19"/>
                <w:szCs w:val="19"/>
              </w:rPr>
              <w:t>eko-invest</w:t>
            </w:r>
            <w:r w:rsidRPr="00E20662">
              <w:rPr>
                <w:rFonts w:ascii="Calibri" w:hAnsi="Calibri" w:cs="Calibri"/>
                <w:sz w:val="19"/>
                <w:szCs w:val="19"/>
              </w:rPr>
              <w:t>.net/</w:t>
            </w:r>
          </w:p>
        </w:tc>
      </w:tr>
      <w:tr w:rsidR="00E20662" w:rsidRPr="00E20662" w:rsidTr="003B1070">
        <w:trPr>
          <w:trHeight w:val="356"/>
        </w:trPr>
        <w:tc>
          <w:tcPr>
            <w:tcW w:w="9776" w:type="dxa"/>
            <w:gridSpan w:val="8"/>
            <w:vAlign w:val="center"/>
          </w:tcPr>
          <w:p w:rsidR="00DB66D5" w:rsidRPr="00E20662" w:rsidRDefault="00DB66D5" w:rsidP="00D902C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</w:rPr>
              <w:t>DOŚWIADCZENIE DEWELOPERA</w:t>
            </w:r>
          </w:p>
        </w:tc>
      </w:tr>
      <w:tr w:rsidR="00E20662" w:rsidRPr="00E20662" w:rsidTr="00D902CA">
        <w:tc>
          <w:tcPr>
            <w:tcW w:w="9776" w:type="dxa"/>
            <w:gridSpan w:val="8"/>
          </w:tcPr>
          <w:p w:rsidR="00021822" w:rsidRPr="00E20662" w:rsidRDefault="008D765D" w:rsidP="00D902CA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EKO-INVEST PLUS</w:t>
            </w:r>
            <w:r w:rsidR="00A716FF" w:rsidRPr="00E20662">
              <w:rPr>
                <w:rFonts w:ascii="Calibri" w:hAnsi="Calibri" w:cs="Calibri"/>
                <w:sz w:val="19"/>
                <w:szCs w:val="19"/>
              </w:rPr>
              <w:t xml:space="preserve"> Sp. z o.o. </w:t>
            </w:r>
            <w:r w:rsidR="00DB66D5" w:rsidRPr="00E20662">
              <w:rPr>
                <w:rFonts w:ascii="Calibri" w:hAnsi="Calibri" w:cs="Calibri"/>
                <w:sz w:val="19"/>
                <w:szCs w:val="19"/>
              </w:rPr>
              <w:t>jest spółką celową utworzoną dla przedmiotowego przedsięwzięcia deweloperskiego</w:t>
            </w:r>
            <w:r w:rsidR="00021822" w:rsidRPr="00E20662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A716FF" w:rsidRPr="00E20662">
              <w:rPr>
                <w:rFonts w:ascii="Calibri" w:hAnsi="Calibri" w:cs="Calibri"/>
                <w:sz w:val="19"/>
                <w:szCs w:val="19"/>
              </w:rPr>
              <w:t>„</w:t>
            </w:r>
            <w:r w:rsidR="00823BF6">
              <w:rPr>
                <w:rFonts w:ascii="Calibri" w:hAnsi="Calibri" w:cs="Calibri"/>
                <w:sz w:val="19"/>
                <w:szCs w:val="19"/>
              </w:rPr>
              <w:t>Przy</w:t>
            </w:r>
            <w:r w:rsidRPr="00E20662">
              <w:rPr>
                <w:rFonts w:ascii="Calibri" w:hAnsi="Calibri" w:cs="Calibri"/>
                <w:sz w:val="19"/>
                <w:szCs w:val="19"/>
              </w:rPr>
              <w:t xml:space="preserve"> Dolin</w:t>
            </w:r>
            <w:r w:rsidR="00823BF6">
              <w:rPr>
                <w:rFonts w:ascii="Calibri" w:hAnsi="Calibri" w:cs="Calibri"/>
                <w:sz w:val="19"/>
                <w:szCs w:val="19"/>
              </w:rPr>
              <w:t>ie</w:t>
            </w:r>
            <w:r w:rsidRPr="00E20662">
              <w:rPr>
                <w:rFonts w:ascii="Calibri" w:hAnsi="Calibri" w:cs="Calibri"/>
                <w:sz w:val="19"/>
                <w:szCs w:val="19"/>
              </w:rPr>
              <w:t>”</w:t>
            </w:r>
          </w:p>
          <w:p w:rsidR="00DB66D5" w:rsidRPr="00E20662" w:rsidRDefault="00DB66D5" w:rsidP="00D902CA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Władze spółki posiadają bogate, wieloletnie doświadczanie w realizacji projektów mieszkaniowych.</w:t>
            </w:r>
          </w:p>
          <w:p w:rsidR="00DB66D5" w:rsidRPr="00E20662" w:rsidRDefault="00DB66D5" w:rsidP="00D902CA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Prezes Zarządu - Marcin Kowalski jest również Prezesem Zarządu EKO-INVEST Sp. z o.o., która od wielu lat z powodzeniem realizuje inwestycje deweloperskie na terenie Kielc oraz jest Generalnym Wykonawcą szeregu inwestycji budowlanych na terenie województwa świętokrzyskiego oraz mazowieckiego</w:t>
            </w:r>
            <w:r w:rsidR="00021822" w:rsidRPr="00E20662">
              <w:rPr>
                <w:rFonts w:ascii="Calibri" w:hAnsi="Calibri" w:cs="Calibri"/>
                <w:sz w:val="19"/>
                <w:szCs w:val="19"/>
              </w:rPr>
              <w:t xml:space="preserve"> w tym inwestycji </w:t>
            </w:r>
            <w:r w:rsidR="00CB4443" w:rsidRPr="00E20662">
              <w:rPr>
                <w:rFonts w:ascii="Calibri" w:hAnsi="Calibri" w:cs="Calibri"/>
                <w:sz w:val="19"/>
                <w:szCs w:val="19"/>
              </w:rPr>
              <w:t xml:space="preserve">„Apartamenty Centrum”, „Zamieszkaj na Wspólnej”, </w:t>
            </w:r>
            <w:r w:rsidR="00021822" w:rsidRPr="00E20662">
              <w:rPr>
                <w:rFonts w:ascii="Calibri" w:hAnsi="Calibri" w:cs="Calibri"/>
                <w:sz w:val="19"/>
                <w:szCs w:val="19"/>
              </w:rPr>
              <w:t>LOTNICZA EKOPAK etap I i II.</w:t>
            </w:r>
          </w:p>
        </w:tc>
      </w:tr>
      <w:tr w:rsidR="00E20662" w:rsidRPr="00E20662" w:rsidTr="003B1070">
        <w:trPr>
          <w:trHeight w:val="438"/>
        </w:trPr>
        <w:tc>
          <w:tcPr>
            <w:tcW w:w="9776" w:type="dxa"/>
            <w:gridSpan w:val="8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</w:rPr>
              <w:t xml:space="preserve">PRZYKŁAD UKOŃCZONEGO PRZEDSIĘWZIĘCIA DEWELOPERSKIEGO </w:t>
            </w:r>
          </w:p>
        </w:tc>
      </w:tr>
      <w:tr w:rsidR="00E20662" w:rsidRPr="00E20662" w:rsidTr="00D902CA">
        <w:trPr>
          <w:trHeight w:val="567"/>
        </w:trPr>
        <w:tc>
          <w:tcPr>
            <w:tcW w:w="4531" w:type="dxa"/>
            <w:gridSpan w:val="3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Adres</w:t>
            </w:r>
          </w:p>
        </w:tc>
        <w:tc>
          <w:tcPr>
            <w:tcW w:w="5245" w:type="dxa"/>
            <w:gridSpan w:val="5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20662" w:rsidRPr="00E20662" w:rsidTr="00D902CA">
        <w:trPr>
          <w:trHeight w:val="567"/>
        </w:trPr>
        <w:tc>
          <w:tcPr>
            <w:tcW w:w="4531" w:type="dxa"/>
            <w:gridSpan w:val="3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Data rozpoczęcia</w:t>
            </w:r>
          </w:p>
        </w:tc>
        <w:tc>
          <w:tcPr>
            <w:tcW w:w="5245" w:type="dxa"/>
            <w:gridSpan w:val="5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20662" w:rsidRPr="00E20662" w:rsidTr="00D902CA">
        <w:trPr>
          <w:trHeight w:val="567"/>
        </w:trPr>
        <w:tc>
          <w:tcPr>
            <w:tcW w:w="4531" w:type="dxa"/>
            <w:gridSpan w:val="3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Data wydania ostatecznego pozwolenia na użytkowanie</w:t>
            </w:r>
          </w:p>
        </w:tc>
        <w:tc>
          <w:tcPr>
            <w:tcW w:w="5245" w:type="dxa"/>
            <w:gridSpan w:val="5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20662" w:rsidRPr="00E20662" w:rsidTr="003B1070">
        <w:trPr>
          <w:trHeight w:val="384"/>
        </w:trPr>
        <w:tc>
          <w:tcPr>
            <w:tcW w:w="9776" w:type="dxa"/>
            <w:gridSpan w:val="8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</w:rPr>
              <w:t>PRZYKŁAD UKOŃCZONEGO PRZEDSIĘWZIĘCIA DEWELOPERSKIEGO</w:t>
            </w:r>
          </w:p>
        </w:tc>
      </w:tr>
      <w:tr w:rsidR="00E20662" w:rsidRPr="00E20662" w:rsidTr="00D902CA">
        <w:trPr>
          <w:trHeight w:val="567"/>
        </w:trPr>
        <w:tc>
          <w:tcPr>
            <w:tcW w:w="4531" w:type="dxa"/>
            <w:gridSpan w:val="3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 xml:space="preserve">Adres </w:t>
            </w:r>
          </w:p>
        </w:tc>
        <w:tc>
          <w:tcPr>
            <w:tcW w:w="5245" w:type="dxa"/>
            <w:gridSpan w:val="5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20662" w:rsidRPr="00E20662" w:rsidTr="00D902CA">
        <w:trPr>
          <w:trHeight w:val="567"/>
        </w:trPr>
        <w:tc>
          <w:tcPr>
            <w:tcW w:w="4531" w:type="dxa"/>
            <w:gridSpan w:val="3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Data rozpoczęcia</w:t>
            </w:r>
          </w:p>
        </w:tc>
        <w:tc>
          <w:tcPr>
            <w:tcW w:w="5245" w:type="dxa"/>
            <w:gridSpan w:val="5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20662" w:rsidRPr="00E20662" w:rsidTr="00D902CA">
        <w:trPr>
          <w:trHeight w:val="567"/>
        </w:trPr>
        <w:tc>
          <w:tcPr>
            <w:tcW w:w="4531" w:type="dxa"/>
            <w:gridSpan w:val="3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Data wydania ostatecznego pozwolenia na użytkowanie</w:t>
            </w:r>
          </w:p>
        </w:tc>
        <w:tc>
          <w:tcPr>
            <w:tcW w:w="5245" w:type="dxa"/>
            <w:gridSpan w:val="5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20662" w:rsidRPr="00E20662" w:rsidTr="003B1070">
        <w:trPr>
          <w:trHeight w:val="387"/>
        </w:trPr>
        <w:tc>
          <w:tcPr>
            <w:tcW w:w="9776" w:type="dxa"/>
            <w:gridSpan w:val="8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</w:rPr>
              <w:t>PRZYKŁAD UKOŃCZONEGO PRZEDSIĘWZIĘCIA DEWELOPERSKIEGO</w:t>
            </w:r>
          </w:p>
        </w:tc>
      </w:tr>
      <w:tr w:rsidR="00E20662" w:rsidRPr="00E20662" w:rsidTr="00D902CA">
        <w:trPr>
          <w:trHeight w:val="567"/>
        </w:trPr>
        <w:tc>
          <w:tcPr>
            <w:tcW w:w="4531" w:type="dxa"/>
            <w:gridSpan w:val="3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 xml:space="preserve">Adres </w:t>
            </w:r>
          </w:p>
        </w:tc>
        <w:tc>
          <w:tcPr>
            <w:tcW w:w="5245" w:type="dxa"/>
            <w:gridSpan w:val="5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20662" w:rsidRPr="00E20662" w:rsidTr="00D902CA">
        <w:trPr>
          <w:trHeight w:val="567"/>
        </w:trPr>
        <w:tc>
          <w:tcPr>
            <w:tcW w:w="4531" w:type="dxa"/>
            <w:gridSpan w:val="3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Data rozpoczęcia</w:t>
            </w:r>
          </w:p>
        </w:tc>
        <w:tc>
          <w:tcPr>
            <w:tcW w:w="5245" w:type="dxa"/>
            <w:gridSpan w:val="5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20662" w:rsidRPr="00E20662" w:rsidTr="00D902CA">
        <w:trPr>
          <w:trHeight w:val="567"/>
        </w:trPr>
        <w:tc>
          <w:tcPr>
            <w:tcW w:w="4531" w:type="dxa"/>
            <w:gridSpan w:val="3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Data wydania ostatecznego pozwolenia na użytkowanie</w:t>
            </w:r>
          </w:p>
        </w:tc>
        <w:tc>
          <w:tcPr>
            <w:tcW w:w="5245" w:type="dxa"/>
            <w:gridSpan w:val="5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20662" w:rsidRPr="00E20662" w:rsidTr="00D902CA">
        <w:tc>
          <w:tcPr>
            <w:tcW w:w="4531" w:type="dxa"/>
            <w:gridSpan w:val="3"/>
          </w:tcPr>
          <w:p w:rsidR="00DB66D5" w:rsidRPr="00E20662" w:rsidRDefault="00DB66D5" w:rsidP="00D902CA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</w:rPr>
              <w:t>Czy przeciwko deweloperowi prowadzono (lub prowadzi się) postępowania egzekucyjne na kwotę powyżej 100.000 zł</w:t>
            </w:r>
          </w:p>
        </w:tc>
        <w:tc>
          <w:tcPr>
            <w:tcW w:w="5245" w:type="dxa"/>
            <w:gridSpan w:val="5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NIE</w:t>
            </w:r>
          </w:p>
          <w:p w:rsidR="005468D4" w:rsidRPr="00E20662" w:rsidRDefault="005468D4" w:rsidP="00D902CA">
            <w:pPr>
              <w:rPr>
                <w:rFonts w:ascii="Calibri" w:hAnsi="Calibri" w:cs="Calibri"/>
                <w:sz w:val="19"/>
                <w:szCs w:val="19"/>
              </w:rPr>
            </w:pPr>
          </w:p>
          <w:p w:rsidR="000005A9" w:rsidRPr="00E20662" w:rsidRDefault="000005A9" w:rsidP="00D902CA">
            <w:pPr>
              <w:rPr>
                <w:rFonts w:ascii="Calibri" w:hAnsi="Calibri" w:cs="Calibri"/>
                <w:sz w:val="19"/>
                <w:szCs w:val="19"/>
              </w:rPr>
            </w:pPr>
          </w:p>
          <w:p w:rsidR="005468D4" w:rsidRPr="00E20662" w:rsidRDefault="005468D4" w:rsidP="00D902CA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20662" w:rsidRPr="00E20662" w:rsidTr="00D902CA">
        <w:tc>
          <w:tcPr>
            <w:tcW w:w="9776" w:type="dxa"/>
            <w:gridSpan w:val="8"/>
            <w:vAlign w:val="center"/>
          </w:tcPr>
          <w:p w:rsidR="00DB66D5" w:rsidRPr="00E20662" w:rsidRDefault="00DB66D5" w:rsidP="00D902C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</w:rPr>
              <w:t>INFORMACJE DOTYCZĄCE NIERUCHOMOŚCI I PRZEDSIĘWZIĘCIA DEWELOPERSKIEGO</w:t>
            </w:r>
          </w:p>
        </w:tc>
      </w:tr>
      <w:tr w:rsidR="00E20662" w:rsidRPr="00E20662" w:rsidTr="00D902CA">
        <w:trPr>
          <w:trHeight w:val="433"/>
        </w:trPr>
        <w:tc>
          <w:tcPr>
            <w:tcW w:w="9776" w:type="dxa"/>
            <w:gridSpan w:val="8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</w:rPr>
              <w:t>INFORMACJE DOTYCZĄCE GRUNTU</w:t>
            </w:r>
          </w:p>
        </w:tc>
      </w:tr>
      <w:tr w:rsidR="00E20662" w:rsidRPr="00E20662" w:rsidTr="00D902CA">
        <w:trPr>
          <w:trHeight w:val="567"/>
        </w:trPr>
        <w:tc>
          <w:tcPr>
            <w:tcW w:w="3020" w:type="dxa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Adres i numer działki ewidencyjnej</w:t>
            </w:r>
          </w:p>
        </w:tc>
        <w:tc>
          <w:tcPr>
            <w:tcW w:w="6756" w:type="dxa"/>
            <w:gridSpan w:val="7"/>
            <w:vAlign w:val="center"/>
          </w:tcPr>
          <w:p w:rsidR="00722871" w:rsidRPr="00E20662" w:rsidRDefault="00722871" w:rsidP="00D902CA">
            <w:pPr>
              <w:rPr>
                <w:rFonts w:ascii="Calibri" w:hAnsi="Calibri" w:cs="Calibri"/>
                <w:b/>
                <w:sz w:val="19"/>
                <w:szCs w:val="19"/>
              </w:rPr>
            </w:pPr>
          </w:p>
          <w:p w:rsidR="00DB66D5" w:rsidRPr="00E20662" w:rsidRDefault="00DB66D5" w:rsidP="00D902CA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</w:rPr>
              <w:t xml:space="preserve">KIELCE, UL. </w:t>
            </w:r>
            <w:r w:rsidR="008D765D" w:rsidRPr="00E20662">
              <w:rPr>
                <w:rFonts w:ascii="Calibri" w:hAnsi="Calibri" w:cs="Calibri"/>
                <w:b/>
                <w:sz w:val="19"/>
                <w:szCs w:val="19"/>
              </w:rPr>
              <w:t>OKRZEI</w:t>
            </w:r>
            <w:r w:rsidR="00A716FF" w:rsidRPr="00E20662">
              <w:rPr>
                <w:rFonts w:ascii="Calibri" w:hAnsi="Calibri" w:cs="Calibri"/>
                <w:b/>
                <w:sz w:val="19"/>
                <w:szCs w:val="19"/>
              </w:rPr>
              <w:t xml:space="preserve"> (działki nr</w:t>
            </w:r>
            <w:r w:rsidR="008D765D" w:rsidRPr="00E20662">
              <w:rPr>
                <w:rFonts w:ascii="Calibri" w:hAnsi="Calibri" w:cs="Calibri"/>
                <w:b/>
                <w:sz w:val="19"/>
                <w:szCs w:val="19"/>
              </w:rPr>
              <w:t xml:space="preserve"> 66/1, 67/2, 61/2, 66/2, 208/52</w:t>
            </w:r>
            <w:r w:rsidR="000E2C7C" w:rsidRPr="00E20662">
              <w:rPr>
                <w:rFonts w:ascii="Calibri" w:hAnsi="Calibri" w:cs="Calibri"/>
                <w:b/>
                <w:sz w:val="19"/>
                <w:szCs w:val="19"/>
              </w:rPr>
              <w:t>)</w:t>
            </w:r>
          </w:p>
          <w:p w:rsidR="00DB66D5" w:rsidRPr="00E20662" w:rsidRDefault="00DB66D5" w:rsidP="00D902CA">
            <w:pPr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</w:tr>
      <w:tr w:rsidR="00E20662" w:rsidRPr="00E20662" w:rsidTr="00D902CA">
        <w:trPr>
          <w:trHeight w:val="567"/>
        </w:trPr>
        <w:tc>
          <w:tcPr>
            <w:tcW w:w="3020" w:type="dxa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Nr księgi wieczystej</w:t>
            </w:r>
          </w:p>
        </w:tc>
        <w:tc>
          <w:tcPr>
            <w:tcW w:w="6756" w:type="dxa"/>
            <w:gridSpan w:val="7"/>
            <w:vAlign w:val="center"/>
          </w:tcPr>
          <w:p w:rsidR="00DB66D5" w:rsidRPr="00E20662" w:rsidRDefault="00DB66D5" w:rsidP="008D765D">
            <w:pPr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</w:tr>
      <w:tr w:rsidR="00E20662" w:rsidRPr="00E20662" w:rsidTr="00D902CA">
        <w:trPr>
          <w:trHeight w:val="567"/>
        </w:trPr>
        <w:tc>
          <w:tcPr>
            <w:tcW w:w="3020" w:type="dxa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Istniejące obciążenia hipoteczne nieruchomości lub wnioski o wpis w dziale czwartym księgi wieczystej</w:t>
            </w:r>
          </w:p>
        </w:tc>
        <w:tc>
          <w:tcPr>
            <w:tcW w:w="6756" w:type="dxa"/>
            <w:gridSpan w:val="7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</w:rPr>
              <w:t>BRAK</w:t>
            </w:r>
          </w:p>
        </w:tc>
      </w:tr>
      <w:tr w:rsidR="00E20662" w:rsidRPr="00E20662" w:rsidTr="00D902CA">
        <w:trPr>
          <w:trHeight w:val="567"/>
        </w:trPr>
        <w:tc>
          <w:tcPr>
            <w:tcW w:w="3020" w:type="dxa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W przypadku braku księgi wieczystej o powierzchni działki i stanie prawnym nieruchomości</w:t>
            </w:r>
          </w:p>
        </w:tc>
        <w:tc>
          <w:tcPr>
            <w:tcW w:w="6756" w:type="dxa"/>
            <w:gridSpan w:val="7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</w:rPr>
              <w:t>NIE DOTYCZY</w:t>
            </w:r>
          </w:p>
        </w:tc>
      </w:tr>
      <w:tr w:rsidR="00E20662" w:rsidRPr="00E20662" w:rsidTr="00D902CA">
        <w:trPr>
          <w:trHeight w:val="665"/>
        </w:trPr>
        <w:tc>
          <w:tcPr>
            <w:tcW w:w="3020" w:type="dxa"/>
            <w:vMerge w:val="restart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Plan zagospodarowania przestrzennego dla sąsiadujących działek</w:t>
            </w:r>
          </w:p>
        </w:tc>
        <w:tc>
          <w:tcPr>
            <w:tcW w:w="3021" w:type="dxa"/>
            <w:gridSpan w:val="3"/>
            <w:vAlign w:val="center"/>
          </w:tcPr>
          <w:p w:rsidR="00DB66D5" w:rsidRPr="00E20662" w:rsidRDefault="00DB66D5" w:rsidP="00D902CA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przeznaczenie w planie</w:t>
            </w:r>
          </w:p>
        </w:tc>
        <w:tc>
          <w:tcPr>
            <w:tcW w:w="3735" w:type="dxa"/>
            <w:gridSpan w:val="4"/>
            <w:vMerge w:val="restart"/>
            <w:vAlign w:val="center"/>
          </w:tcPr>
          <w:p w:rsidR="006C66C9" w:rsidRPr="00E20662" w:rsidRDefault="008D765D" w:rsidP="00A716FF">
            <w:pPr>
              <w:jc w:val="both"/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</w:rPr>
              <w:t>BRAK PLANU ZAGOSPODAROWANIA</w:t>
            </w:r>
            <w:r w:rsidR="00197C87" w:rsidRPr="00E20662">
              <w:rPr>
                <w:rFonts w:ascii="Calibri" w:hAnsi="Calibri" w:cs="Calibri"/>
                <w:b/>
                <w:sz w:val="19"/>
                <w:szCs w:val="19"/>
              </w:rPr>
              <w:t xml:space="preserve"> PRZESTRZENNEGO</w:t>
            </w:r>
          </w:p>
        </w:tc>
      </w:tr>
      <w:tr w:rsidR="00E20662" w:rsidRPr="00E20662" w:rsidTr="00D902CA">
        <w:trPr>
          <w:trHeight w:val="665"/>
        </w:trPr>
        <w:tc>
          <w:tcPr>
            <w:tcW w:w="3020" w:type="dxa"/>
            <w:vMerge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021" w:type="dxa"/>
            <w:gridSpan w:val="3"/>
            <w:vAlign w:val="center"/>
          </w:tcPr>
          <w:p w:rsidR="00DB66D5" w:rsidRPr="00E20662" w:rsidRDefault="00DB66D5" w:rsidP="00D902CA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dopuszczalna wysokość zabudowy</w:t>
            </w:r>
          </w:p>
        </w:tc>
        <w:tc>
          <w:tcPr>
            <w:tcW w:w="3735" w:type="dxa"/>
            <w:gridSpan w:val="4"/>
            <w:vMerge/>
            <w:vAlign w:val="center"/>
          </w:tcPr>
          <w:p w:rsidR="00DB66D5" w:rsidRPr="00E20662" w:rsidRDefault="00DB66D5" w:rsidP="00D902CA">
            <w:pPr>
              <w:jc w:val="both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</w:tr>
      <w:tr w:rsidR="00E20662" w:rsidRPr="00E20662" w:rsidTr="00D902CA">
        <w:trPr>
          <w:trHeight w:val="665"/>
        </w:trPr>
        <w:tc>
          <w:tcPr>
            <w:tcW w:w="3020" w:type="dxa"/>
            <w:vMerge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021" w:type="dxa"/>
            <w:gridSpan w:val="3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dopuszczalny procent zabudowy działki</w:t>
            </w:r>
          </w:p>
        </w:tc>
        <w:tc>
          <w:tcPr>
            <w:tcW w:w="3735" w:type="dxa"/>
            <w:gridSpan w:val="4"/>
            <w:vMerge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</w:tr>
      <w:tr w:rsidR="00E20662" w:rsidRPr="00E20662" w:rsidTr="00D902CA">
        <w:tc>
          <w:tcPr>
            <w:tcW w:w="3020" w:type="dxa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Informacje zawarte w publicznie</w:t>
            </w:r>
            <w:r w:rsidRPr="00E20662">
              <w:rPr>
                <w:rFonts w:ascii="Calibri" w:hAnsi="Calibri" w:cs="Calibri"/>
                <w:sz w:val="19"/>
                <w:szCs w:val="19"/>
              </w:rPr>
              <w:br/>
              <w:t xml:space="preserve">dostępnych dokumentach dotyczących przewidzianych inwestycji w promieniu 1 km od przedmiotowej nieruchomości, w szczególności o budowie lub rozbudowie dróg, budowie linii szynowych oraz przewidzianych korytarzach powietrznych, a także znanych innych </w:t>
            </w:r>
            <w:r w:rsidRPr="00E20662">
              <w:rPr>
                <w:rFonts w:ascii="Calibri" w:hAnsi="Calibri" w:cs="Calibri"/>
                <w:spacing w:val="-2"/>
                <w:sz w:val="19"/>
                <w:szCs w:val="19"/>
              </w:rPr>
              <w:t>inwestycjach komunalnych, w szcze</w:t>
            </w:r>
            <w:r w:rsidRPr="00E20662">
              <w:rPr>
                <w:rFonts w:ascii="Calibri" w:hAnsi="Calibri" w:cs="Calibri"/>
                <w:sz w:val="19"/>
                <w:szCs w:val="19"/>
              </w:rPr>
              <w:t>gólności oczyszczalniach ścieków, spalarniach śmieci, wysypiskach, cmentarzach</w:t>
            </w:r>
            <w:r w:rsidR="00D902CA" w:rsidRPr="00E20662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6756" w:type="dxa"/>
            <w:gridSpan w:val="7"/>
            <w:vAlign w:val="center"/>
          </w:tcPr>
          <w:p w:rsidR="00DB66D5" w:rsidRPr="00E20662" w:rsidRDefault="00DB66D5" w:rsidP="00D902CA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Planowane inwestycje w promieniu 1 kilometra od przedmiotowej nieruchomości udostępnione do publicznej wiadomości:</w:t>
            </w:r>
          </w:p>
          <w:p w:rsidR="00DB66D5" w:rsidRPr="00E20662" w:rsidRDefault="00DB66D5" w:rsidP="00D902CA">
            <w:pPr>
              <w:jc w:val="both"/>
              <w:rPr>
                <w:rFonts w:ascii="Calibri" w:hAnsi="Calibri" w:cs="Calibri"/>
                <w:i/>
                <w:iCs/>
                <w:sz w:val="19"/>
                <w:szCs w:val="19"/>
                <w:u w:val="single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</w:rPr>
              <w:t>Urząd Miasta Kielce</w:t>
            </w:r>
            <w:r w:rsidRPr="00E20662">
              <w:rPr>
                <w:rFonts w:ascii="Calibri" w:hAnsi="Calibri" w:cs="Calibri"/>
                <w:sz w:val="19"/>
                <w:szCs w:val="19"/>
              </w:rPr>
              <w:t xml:space="preserve"> – </w:t>
            </w:r>
            <w:r w:rsidRPr="00E20662">
              <w:rPr>
                <w:rFonts w:ascii="Calibri" w:hAnsi="Calibri" w:cs="Calibri"/>
                <w:i/>
                <w:iCs/>
                <w:sz w:val="19"/>
                <w:szCs w:val="19"/>
                <w:u w:val="single"/>
              </w:rPr>
              <w:t>Pismo z dn</w:t>
            </w:r>
            <w:r w:rsidR="003B1070" w:rsidRPr="00E20662">
              <w:rPr>
                <w:rFonts w:ascii="Calibri" w:hAnsi="Calibri" w:cs="Calibri"/>
                <w:i/>
                <w:iCs/>
                <w:sz w:val="19"/>
                <w:szCs w:val="19"/>
                <w:u w:val="single"/>
              </w:rPr>
              <w:t>.</w:t>
            </w:r>
            <w:r w:rsidRPr="00E20662">
              <w:rPr>
                <w:rFonts w:ascii="Calibri" w:hAnsi="Calibri" w:cs="Calibri"/>
                <w:i/>
                <w:iCs/>
                <w:sz w:val="19"/>
                <w:szCs w:val="19"/>
                <w:u w:val="single"/>
              </w:rPr>
              <w:t xml:space="preserve"> </w:t>
            </w:r>
            <w:r w:rsidR="00916B1B" w:rsidRPr="00E20662">
              <w:rPr>
                <w:rFonts w:ascii="Calibri" w:hAnsi="Calibri" w:cs="Calibri"/>
                <w:i/>
                <w:iCs/>
                <w:sz w:val="19"/>
                <w:szCs w:val="19"/>
                <w:u w:val="single"/>
              </w:rPr>
              <w:t>28.03.2022</w:t>
            </w:r>
            <w:r w:rsidRPr="00E20662">
              <w:rPr>
                <w:rFonts w:ascii="Calibri" w:hAnsi="Calibri" w:cs="Calibri"/>
                <w:i/>
                <w:iCs/>
                <w:sz w:val="19"/>
                <w:szCs w:val="19"/>
                <w:u w:val="single"/>
              </w:rPr>
              <w:t xml:space="preserve"> r., znak </w:t>
            </w:r>
            <w:r w:rsidR="006C66C9" w:rsidRPr="00E20662">
              <w:rPr>
                <w:rFonts w:ascii="Calibri" w:hAnsi="Calibri" w:cs="Calibri"/>
                <w:i/>
                <w:iCs/>
                <w:sz w:val="19"/>
                <w:szCs w:val="19"/>
                <w:u w:val="single"/>
              </w:rPr>
              <w:t>UA-I.6727.1</w:t>
            </w:r>
            <w:r w:rsidR="00916B1B" w:rsidRPr="00E20662">
              <w:rPr>
                <w:rFonts w:ascii="Calibri" w:hAnsi="Calibri" w:cs="Calibri"/>
                <w:i/>
                <w:iCs/>
                <w:sz w:val="19"/>
                <w:szCs w:val="19"/>
                <w:u w:val="single"/>
              </w:rPr>
              <w:t>2.2022</w:t>
            </w:r>
            <w:r w:rsidR="006C66C9" w:rsidRPr="00E20662">
              <w:rPr>
                <w:rFonts w:ascii="Calibri" w:hAnsi="Calibri" w:cs="Calibri"/>
                <w:i/>
                <w:iCs/>
                <w:sz w:val="19"/>
                <w:szCs w:val="19"/>
                <w:u w:val="single"/>
              </w:rPr>
              <w:t>.ASO</w:t>
            </w:r>
          </w:p>
          <w:p w:rsidR="006C66C9" w:rsidRPr="00E20662" w:rsidRDefault="006C66C9" w:rsidP="00D902CA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Na przedmiotowym terenie nie przewiduje się budowy linii szynowych, oczyszczalni ścieków, spalarni śmieci, wysypisk i cmentarzy.</w:t>
            </w:r>
          </w:p>
          <w:p w:rsidR="006C66C9" w:rsidRPr="00E20662" w:rsidRDefault="006C66C9" w:rsidP="00D902CA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Przewidywane inwestycje drogowe:</w:t>
            </w:r>
          </w:p>
          <w:p w:rsidR="006C66C9" w:rsidRPr="00E20662" w:rsidRDefault="006C66C9" w:rsidP="00916B1B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 xml:space="preserve">- </w:t>
            </w:r>
            <w:r w:rsidR="00916B1B" w:rsidRPr="00E20662">
              <w:rPr>
                <w:rFonts w:ascii="Calibri" w:hAnsi="Calibri" w:cs="Calibri"/>
                <w:sz w:val="19"/>
                <w:szCs w:val="19"/>
              </w:rPr>
              <w:t>rozbudowa drogi krajowej nr 74 do parametrów drogi ekspresowej</w:t>
            </w:r>
            <w:r w:rsidR="00051608" w:rsidRPr="00E20662">
              <w:rPr>
                <w:rFonts w:ascii="Calibri" w:hAnsi="Calibri" w:cs="Calibri"/>
                <w:sz w:val="19"/>
                <w:szCs w:val="19"/>
              </w:rPr>
              <w:t xml:space="preserve"> z węzłami Olszewskiego, Zagnańska, Warszawska</w:t>
            </w:r>
          </w:p>
          <w:p w:rsidR="00051608" w:rsidRPr="00E20662" w:rsidRDefault="00051608" w:rsidP="00916B1B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- budowa węzła Mielczarskiego – 1 Maja – północna obwodnica Ślichowic</w:t>
            </w:r>
          </w:p>
          <w:p w:rsidR="00051608" w:rsidRPr="00E20662" w:rsidRDefault="00051608" w:rsidP="00916B1B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- przedłużenie ul. Pocieszka do ul. Zagnańskiej</w:t>
            </w:r>
          </w:p>
          <w:p w:rsidR="00A716FF" w:rsidRPr="00E20662" w:rsidRDefault="006C66C9" w:rsidP="00D902CA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● Szereg ulic przewidzianych w miejscowych planach zagospodarowania przestrzennego:</w:t>
            </w:r>
          </w:p>
          <w:p w:rsidR="0061493A" w:rsidRPr="00E20662" w:rsidRDefault="006C66C9" w:rsidP="00051608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 xml:space="preserve">- </w:t>
            </w:r>
            <w:r w:rsidR="00051608" w:rsidRPr="00E20662">
              <w:rPr>
                <w:rFonts w:ascii="Calibri" w:hAnsi="Calibri" w:cs="Calibri"/>
                <w:sz w:val="19"/>
                <w:szCs w:val="19"/>
              </w:rPr>
              <w:t xml:space="preserve"> Miejscowy plan zagospodarowania przestrzennego terenu „KIELCE PÓŁNOC – OBSZAR II – Zalew Kielecki – Klonowa – Piaski” uchwalony Uchwałą Nr XLIII/778/2013 Rady Miasta Kielce z dnia 13 kwietnia 2013 r. (Dz. Urz. Woj. Świętokrzyskiego 2013.2225 z dnia 21 maja 2013 r.)</w:t>
            </w:r>
          </w:p>
          <w:p w:rsidR="00051608" w:rsidRPr="00E20662" w:rsidRDefault="00051608" w:rsidP="00004962">
            <w:pPr>
              <w:jc w:val="both"/>
              <w:rPr>
                <w:rFonts w:ascii="Calibri" w:hAnsi="Calibri" w:cs="Calibri"/>
                <w:bCs/>
                <w:iCs/>
                <w:sz w:val="19"/>
                <w:szCs w:val="19"/>
              </w:rPr>
            </w:pPr>
            <w:r w:rsidRPr="00E20662">
              <w:rPr>
                <w:rFonts w:ascii="Calibri" w:hAnsi="Calibri" w:cs="Calibri"/>
                <w:bCs/>
                <w:iCs/>
                <w:sz w:val="19"/>
                <w:szCs w:val="19"/>
              </w:rPr>
              <w:t xml:space="preserve">- Miejscowy plan </w:t>
            </w:r>
            <w:r w:rsidR="00004962" w:rsidRPr="00E20662">
              <w:rPr>
                <w:rFonts w:ascii="Calibri" w:hAnsi="Calibri" w:cs="Calibri"/>
                <w:bCs/>
                <w:iCs/>
                <w:sz w:val="19"/>
                <w:szCs w:val="19"/>
              </w:rPr>
              <w:t>zagospodarowania</w:t>
            </w:r>
            <w:r w:rsidRPr="00E20662">
              <w:rPr>
                <w:rFonts w:ascii="Calibri" w:hAnsi="Calibri" w:cs="Calibri"/>
                <w:bCs/>
                <w:iCs/>
                <w:sz w:val="19"/>
                <w:szCs w:val="19"/>
              </w:rPr>
              <w:t xml:space="preserve"> przestrzennego terenu „KIELCE-PÓLNOC-OBSZAR II.2:Centrum handlowo-usługowe u zbiegu ulic Zagnańskiej i Jesionowej” uchwalony Uchwałą Nr XLIX/858/2013 Rady Miasta Kielce z dnia 25 lipca 2013 r. (Dz. Urz. Woj. Świętokrzyskiego 2013.3072 z dnia</w:t>
            </w:r>
            <w:r w:rsidR="00004962" w:rsidRPr="00E20662">
              <w:rPr>
                <w:rFonts w:ascii="Calibri" w:hAnsi="Calibri" w:cs="Calibri"/>
                <w:bCs/>
                <w:iCs/>
                <w:sz w:val="19"/>
                <w:szCs w:val="19"/>
              </w:rPr>
              <w:t xml:space="preserve"> </w:t>
            </w:r>
            <w:r w:rsidRPr="00E20662">
              <w:rPr>
                <w:rFonts w:ascii="Calibri" w:hAnsi="Calibri" w:cs="Calibri"/>
                <w:bCs/>
                <w:iCs/>
                <w:sz w:val="19"/>
                <w:szCs w:val="19"/>
              </w:rPr>
              <w:t xml:space="preserve">sierpnia 2013 r.) wraz ze Zmianą nr 1 miejscowego planu </w:t>
            </w:r>
            <w:r w:rsidR="00004962" w:rsidRPr="00E20662">
              <w:rPr>
                <w:rFonts w:ascii="Calibri" w:hAnsi="Calibri" w:cs="Calibri"/>
                <w:bCs/>
                <w:iCs/>
                <w:sz w:val="19"/>
                <w:szCs w:val="19"/>
              </w:rPr>
              <w:t>zagospodarowania</w:t>
            </w:r>
            <w:r w:rsidRPr="00E20662">
              <w:rPr>
                <w:rFonts w:ascii="Calibri" w:hAnsi="Calibri" w:cs="Calibri"/>
                <w:bCs/>
                <w:iCs/>
                <w:sz w:val="19"/>
                <w:szCs w:val="19"/>
              </w:rPr>
              <w:t xml:space="preserve"> przestrzennego terenu </w:t>
            </w:r>
            <w:r w:rsidR="00004962" w:rsidRPr="00E20662">
              <w:rPr>
                <w:rFonts w:ascii="Calibri" w:hAnsi="Calibri" w:cs="Calibri"/>
                <w:bCs/>
                <w:iCs/>
                <w:sz w:val="19"/>
                <w:szCs w:val="19"/>
              </w:rPr>
              <w:t>„</w:t>
            </w:r>
            <w:r w:rsidRPr="00E20662">
              <w:rPr>
                <w:rFonts w:ascii="Calibri" w:hAnsi="Calibri" w:cs="Calibri"/>
                <w:bCs/>
                <w:iCs/>
                <w:sz w:val="19"/>
                <w:szCs w:val="19"/>
              </w:rPr>
              <w:t xml:space="preserve">KIELCE PÓŁNOC – OBSZAR II.2: Centrum handlowo – usługowe u zbiegu ulic Zagnańskiej i Jesionowej” na obszarze </w:t>
            </w:r>
            <w:r w:rsidR="00004962" w:rsidRPr="00E20662">
              <w:rPr>
                <w:rFonts w:ascii="Calibri" w:hAnsi="Calibri" w:cs="Calibri"/>
                <w:bCs/>
                <w:iCs/>
                <w:sz w:val="19"/>
                <w:szCs w:val="19"/>
              </w:rPr>
              <w:t>miasta Kielce uchwaloną Uchwałą Nr XIX/1316/2018.3039 z dnia 4 września 2018 r.)</w:t>
            </w:r>
          </w:p>
          <w:p w:rsidR="00004962" w:rsidRPr="00E20662" w:rsidRDefault="00004962" w:rsidP="00004962">
            <w:pPr>
              <w:jc w:val="both"/>
              <w:rPr>
                <w:rFonts w:ascii="Calibri" w:hAnsi="Calibri" w:cs="Calibri"/>
                <w:bCs/>
                <w:iCs/>
                <w:sz w:val="19"/>
                <w:szCs w:val="19"/>
              </w:rPr>
            </w:pPr>
            <w:r w:rsidRPr="00E20662">
              <w:rPr>
                <w:rFonts w:ascii="Calibri" w:hAnsi="Calibri" w:cs="Calibri"/>
                <w:bCs/>
                <w:iCs/>
                <w:sz w:val="19"/>
                <w:szCs w:val="19"/>
              </w:rPr>
              <w:t>- Miejscowy plan zagospodarowania przestrzennego terenu „Kielce Śródmieście – Obszar I.1.3 Czarnowska – Żelazna – PKS” uchwalony Uchwałą Nr XLIX/857/2013  z dnia 25 lipca 2013 r. (Dz. U. Woj. Świętokrzyskiego  2013.3071 z dnia 28 sierpnia 2013 r.)</w:t>
            </w:r>
          </w:p>
          <w:p w:rsidR="00004962" w:rsidRPr="00E20662" w:rsidRDefault="00004962" w:rsidP="00004962">
            <w:pPr>
              <w:jc w:val="both"/>
              <w:rPr>
                <w:rFonts w:ascii="Calibri" w:hAnsi="Calibri" w:cs="Calibri"/>
                <w:bCs/>
                <w:iCs/>
                <w:sz w:val="19"/>
                <w:szCs w:val="19"/>
              </w:rPr>
            </w:pPr>
            <w:r w:rsidRPr="00E20662">
              <w:rPr>
                <w:rFonts w:ascii="Calibri" w:hAnsi="Calibri" w:cs="Calibri"/>
                <w:bCs/>
                <w:iCs/>
                <w:sz w:val="19"/>
                <w:szCs w:val="19"/>
              </w:rPr>
              <w:t>- Miejscowy plan zagospodarowania przestrzennego terenu „KIELCE ŚRÓDMIEŚCIE-OBSZAR 2 – Bodzentyńska, Prezydenta Lecha Kaczyńskiego – IX Wieków Kielce” zatwierdzonego Uchwałą Nr XLI/854/2017 Rady Miasta Kielce z dnia 27 kwietnia 2017 r. (Dz. Urz. Woj. Świętokrzyskiego poz. 1910 z dnia 6 czerwca 2017 r.)</w:t>
            </w:r>
          </w:p>
          <w:p w:rsidR="0061493A" w:rsidRPr="00E20662" w:rsidRDefault="0061493A" w:rsidP="00D902CA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</w:p>
          <w:p w:rsidR="00DB66D5" w:rsidRPr="00E20662" w:rsidRDefault="00DB66D5" w:rsidP="00D902CA">
            <w:pPr>
              <w:jc w:val="both"/>
              <w:rPr>
                <w:rFonts w:ascii="Calibri" w:hAnsi="Calibri" w:cs="Calibri"/>
                <w:i/>
                <w:iCs/>
                <w:sz w:val="19"/>
                <w:szCs w:val="19"/>
                <w:u w:val="single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</w:rPr>
              <w:t>Miejski Zarząd Dróg</w:t>
            </w:r>
            <w:r w:rsidRPr="00E20662">
              <w:rPr>
                <w:rFonts w:ascii="Calibri" w:hAnsi="Calibri" w:cs="Calibri"/>
                <w:sz w:val="19"/>
                <w:szCs w:val="19"/>
              </w:rPr>
              <w:t xml:space="preserve"> – </w:t>
            </w:r>
            <w:r w:rsidRPr="00E20662">
              <w:rPr>
                <w:rFonts w:ascii="Calibri" w:hAnsi="Calibri" w:cs="Calibri"/>
                <w:i/>
                <w:iCs/>
                <w:sz w:val="19"/>
                <w:szCs w:val="19"/>
                <w:u w:val="single"/>
              </w:rPr>
              <w:t>Pismo z dn</w:t>
            </w:r>
            <w:r w:rsidR="003B1070" w:rsidRPr="00E20662">
              <w:rPr>
                <w:rFonts w:ascii="Calibri" w:hAnsi="Calibri" w:cs="Calibri"/>
                <w:i/>
                <w:iCs/>
                <w:sz w:val="19"/>
                <w:szCs w:val="19"/>
                <w:u w:val="single"/>
              </w:rPr>
              <w:t>.</w:t>
            </w:r>
            <w:r w:rsidR="00967919" w:rsidRPr="00E20662">
              <w:rPr>
                <w:rFonts w:ascii="Calibri" w:hAnsi="Calibri" w:cs="Calibri"/>
                <w:i/>
                <w:iCs/>
                <w:sz w:val="19"/>
                <w:szCs w:val="19"/>
                <w:u w:val="single"/>
              </w:rPr>
              <w:t xml:space="preserve"> </w:t>
            </w:r>
            <w:r w:rsidR="00A30A76">
              <w:rPr>
                <w:rFonts w:ascii="Calibri" w:hAnsi="Calibri" w:cs="Calibri"/>
                <w:i/>
                <w:iCs/>
                <w:sz w:val="19"/>
                <w:szCs w:val="19"/>
                <w:u w:val="single"/>
              </w:rPr>
              <w:t>19.04.</w:t>
            </w:r>
            <w:r w:rsidR="00992B24" w:rsidRPr="00E20662">
              <w:rPr>
                <w:rFonts w:ascii="Calibri" w:hAnsi="Calibri" w:cs="Calibri"/>
                <w:i/>
                <w:iCs/>
                <w:sz w:val="19"/>
                <w:szCs w:val="19"/>
                <w:u w:val="single"/>
              </w:rPr>
              <w:t>2022</w:t>
            </w:r>
            <w:r w:rsidRPr="00E20662">
              <w:rPr>
                <w:rFonts w:ascii="Calibri" w:hAnsi="Calibri" w:cs="Calibri"/>
                <w:i/>
                <w:iCs/>
                <w:sz w:val="19"/>
                <w:szCs w:val="19"/>
                <w:u w:val="single"/>
              </w:rPr>
              <w:t xml:space="preserve"> r., znak </w:t>
            </w:r>
            <w:r w:rsidR="00992B24" w:rsidRPr="00E20662">
              <w:rPr>
                <w:rFonts w:ascii="Calibri" w:hAnsi="Calibri" w:cs="Calibri"/>
                <w:i/>
                <w:iCs/>
                <w:sz w:val="19"/>
                <w:szCs w:val="19"/>
                <w:u w:val="single"/>
              </w:rPr>
              <w:t>WR.4024.056.2022.RR</w:t>
            </w:r>
          </w:p>
          <w:p w:rsidR="00524DC3" w:rsidRPr="00E20662" w:rsidRDefault="00524DC3" w:rsidP="00D902CA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Planowane inwestycje drogowe:</w:t>
            </w:r>
          </w:p>
          <w:p w:rsidR="00992B24" w:rsidRPr="00E20662" w:rsidRDefault="00992B24" w:rsidP="00D902CA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1. Budowa odcinka ulicy KDL1 wraz ze skrzyżowaniem z ulicą KDD1 określonych w zmianie nr 1 MPZP „Kielce Północ – Obszar II.2 Centrum Handlowo-Usługowe u zbiegu ulic Zagnańskiej i Jesionowej;</w:t>
            </w:r>
          </w:p>
          <w:p w:rsidR="00992B24" w:rsidRPr="00E20662" w:rsidRDefault="00992B24" w:rsidP="00D902CA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2. Rozbudowa drogi krajowej Nr 74 do parametrów drogi 2 jezdniowej klasy ekspresowej na odcinku przejścia przez Kielce (węzeł Kielce-Zachód/S7 – węzeł Bocianek/DK73 – inwestycja realizowana przez Generalną Dyrekcję Dróg Krajowych i Autostrad w Kielcach;</w:t>
            </w:r>
          </w:p>
          <w:p w:rsidR="00992B24" w:rsidRPr="00E20662" w:rsidRDefault="00992B24" w:rsidP="00D902CA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3. Przebudowa ulicy Przelot w Kielcach na odcinku skrzyżowania z ulicą Wiosenną do nr porządkowego 12 (w kierunku zachodnim);</w:t>
            </w:r>
          </w:p>
          <w:p w:rsidR="00992B24" w:rsidRPr="00E20662" w:rsidRDefault="00992B24" w:rsidP="00D902CA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4. Przebudowa ul. Targowej w Kielcach na odcinku od alei IX Wieków Kielc do ulicy Przechodniej.</w:t>
            </w:r>
          </w:p>
        </w:tc>
      </w:tr>
      <w:tr w:rsidR="00E20662" w:rsidRPr="00E20662" w:rsidTr="003B1070">
        <w:trPr>
          <w:trHeight w:val="449"/>
        </w:trPr>
        <w:tc>
          <w:tcPr>
            <w:tcW w:w="9776" w:type="dxa"/>
            <w:gridSpan w:val="8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bCs/>
                <w:sz w:val="19"/>
                <w:szCs w:val="19"/>
              </w:rPr>
              <w:t>INFORMACJE DOTYCZĄCE BUDYNKU</w:t>
            </w:r>
          </w:p>
        </w:tc>
      </w:tr>
      <w:tr w:rsidR="00E20662" w:rsidRPr="00E20662" w:rsidTr="00D902CA">
        <w:trPr>
          <w:trHeight w:val="567"/>
        </w:trPr>
        <w:tc>
          <w:tcPr>
            <w:tcW w:w="3020" w:type="dxa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Czy jest pozwolenie na budowę</w:t>
            </w:r>
          </w:p>
        </w:tc>
        <w:tc>
          <w:tcPr>
            <w:tcW w:w="3776" w:type="dxa"/>
            <w:gridSpan w:val="5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</w:rPr>
              <w:t>TAK</w:t>
            </w:r>
          </w:p>
        </w:tc>
        <w:tc>
          <w:tcPr>
            <w:tcW w:w="2980" w:type="dxa"/>
            <w:gridSpan w:val="2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b/>
                <w:sz w:val="19"/>
                <w:szCs w:val="19"/>
              </w:rPr>
            </w:pPr>
          </w:p>
          <w:p w:rsidR="00DB66D5" w:rsidRPr="00E20662" w:rsidRDefault="00DB66D5" w:rsidP="00D902CA">
            <w:pPr>
              <w:rPr>
                <w:rFonts w:ascii="Calibri" w:hAnsi="Calibri" w:cs="Calibri"/>
                <w:b/>
                <w:strike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strike/>
                <w:sz w:val="19"/>
                <w:szCs w:val="19"/>
              </w:rPr>
              <w:t>NIE</w:t>
            </w:r>
          </w:p>
          <w:p w:rsidR="00DB66D5" w:rsidRPr="00E20662" w:rsidRDefault="00DB66D5" w:rsidP="00D902CA">
            <w:pPr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</w:tr>
      <w:tr w:rsidR="00E20662" w:rsidRPr="00E20662" w:rsidTr="00D902CA">
        <w:trPr>
          <w:trHeight w:val="567"/>
        </w:trPr>
        <w:tc>
          <w:tcPr>
            <w:tcW w:w="3020" w:type="dxa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Czy pozwolenie na budowę jest</w:t>
            </w:r>
            <w:r w:rsidRPr="00E20662">
              <w:rPr>
                <w:rFonts w:ascii="Calibri" w:hAnsi="Calibri" w:cs="Calibri"/>
                <w:sz w:val="19"/>
                <w:szCs w:val="19"/>
              </w:rPr>
              <w:br/>
              <w:t>ostateczne</w:t>
            </w:r>
          </w:p>
        </w:tc>
        <w:tc>
          <w:tcPr>
            <w:tcW w:w="3776" w:type="dxa"/>
            <w:gridSpan w:val="5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</w:rPr>
              <w:t>TAK</w:t>
            </w:r>
          </w:p>
        </w:tc>
        <w:tc>
          <w:tcPr>
            <w:tcW w:w="2980" w:type="dxa"/>
            <w:gridSpan w:val="2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b/>
                <w:strike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strike/>
                <w:sz w:val="19"/>
                <w:szCs w:val="19"/>
              </w:rPr>
              <w:t>NIE</w:t>
            </w:r>
          </w:p>
        </w:tc>
      </w:tr>
      <w:tr w:rsidR="00E20662" w:rsidRPr="00E20662" w:rsidTr="00D902CA">
        <w:trPr>
          <w:trHeight w:val="567"/>
        </w:trPr>
        <w:tc>
          <w:tcPr>
            <w:tcW w:w="3020" w:type="dxa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Czy pozwolenie na budowę jest</w:t>
            </w:r>
            <w:r w:rsidRPr="00E20662">
              <w:rPr>
                <w:rFonts w:ascii="Calibri" w:hAnsi="Calibri" w:cs="Calibri"/>
                <w:sz w:val="19"/>
                <w:szCs w:val="19"/>
              </w:rPr>
              <w:br/>
              <w:t>zaskarżone</w:t>
            </w:r>
          </w:p>
        </w:tc>
        <w:tc>
          <w:tcPr>
            <w:tcW w:w="3776" w:type="dxa"/>
            <w:gridSpan w:val="5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b/>
                <w:strike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strike/>
                <w:sz w:val="19"/>
                <w:szCs w:val="19"/>
              </w:rPr>
              <w:t>TAK</w:t>
            </w:r>
          </w:p>
        </w:tc>
        <w:tc>
          <w:tcPr>
            <w:tcW w:w="2980" w:type="dxa"/>
            <w:gridSpan w:val="2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</w:rPr>
              <w:t>NIE</w:t>
            </w:r>
          </w:p>
        </w:tc>
      </w:tr>
      <w:tr w:rsidR="00E20662" w:rsidRPr="00E20662" w:rsidTr="00D902CA">
        <w:trPr>
          <w:trHeight w:val="567"/>
        </w:trPr>
        <w:tc>
          <w:tcPr>
            <w:tcW w:w="3020" w:type="dxa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Nr pozwolenia na budowę oraz</w:t>
            </w:r>
            <w:r w:rsidRPr="00E20662">
              <w:rPr>
                <w:rFonts w:ascii="Calibri" w:hAnsi="Calibri" w:cs="Calibri"/>
                <w:sz w:val="19"/>
                <w:szCs w:val="19"/>
              </w:rPr>
              <w:br/>
              <w:t>nazwa organu, który je wydał</w:t>
            </w:r>
          </w:p>
        </w:tc>
        <w:tc>
          <w:tcPr>
            <w:tcW w:w="6756" w:type="dxa"/>
            <w:gridSpan w:val="7"/>
            <w:vAlign w:val="center"/>
          </w:tcPr>
          <w:p w:rsidR="00DB66D5" w:rsidRPr="00E20662" w:rsidRDefault="00DB66D5" w:rsidP="00381D5B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</w:rPr>
              <w:t xml:space="preserve">Decyzja Nr </w:t>
            </w:r>
            <w:r w:rsidR="00381D5B" w:rsidRPr="00E20662">
              <w:rPr>
                <w:rFonts w:ascii="Calibri" w:hAnsi="Calibri" w:cs="Calibri"/>
                <w:b/>
                <w:sz w:val="19"/>
                <w:szCs w:val="19"/>
              </w:rPr>
              <w:t xml:space="preserve">414/2021 </w:t>
            </w:r>
            <w:r w:rsidRPr="00E20662">
              <w:rPr>
                <w:rFonts w:ascii="Calibri" w:hAnsi="Calibri" w:cs="Calibri"/>
                <w:b/>
                <w:sz w:val="19"/>
                <w:szCs w:val="19"/>
              </w:rPr>
              <w:t xml:space="preserve">z </w:t>
            </w:r>
            <w:r w:rsidR="00381D5B" w:rsidRPr="00E20662">
              <w:rPr>
                <w:rFonts w:ascii="Calibri" w:hAnsi="Calibri" w:cs="Calibri"/>
                <w:b/>
                <w:sz w:val="19"/>
                <w:szCs w:val="19"/>
              </w:rPr>
              <w:t>29 października 2021</w:t>
            </w:r>
            <w:r w:rsidR="00D15401" w:rsidRPr="00E20662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E20662">
              <w:rPr>
                <w:rFonts w:ascii="Calibri" w:hAnsi="Calibri" w:cs="Calibri"/>
                <w:b/>
                <w:sz w:val="19"/>
                <w:szCs w:val="19"/>
              </w:rPr>
              <w:t xml:space="preserve">r., wydana przez Prezydenta Miasta Kielce, która stała się </w:t>
            </w:r>
            <w:r w:rsidR="007F51DA" w:rsidRPr="00E20662">
              <w:rPr>
                <w:rFonts w:ascii="Calibri" w:hAnsi="Calibri" w:cs="Calibri"/>
                <w:b/>
                <w:sz w:val="19"/>
                <w:szCs w:val="19"/>
              </w:rPr>
              <w:t>ostateczna</w:t>
            </w:r>
            <w:r w:rsidRPr="00E20662">
              <w:rPr>
                <w:rFonts w:ascii="Calibri" w:hAnsi="Calibri" w:cs="Calibri"/>
                <w:b/>
                <w:sz w:val="19"/>
                <w:szCs w:val="19"/>
              </w:rPr>
              <w:t xml:space="preserve"> w dniu </w:t>
            </w:r>
            <w:r w:rsidR="00381D5B" w:rsidRPr="00E20662">
              <w:rPr>
                <w:rFonts w:ascii="Calibri" w:hAnsi="Calibri" w:cs="Calibri"/>
                <w:b/>
                <w:sz w:val="19"/>
                <w:szCs w:val="19"/>
              </w:rPr>
              <w:t>08 grudnia 2021</w:t>
            </w:r>
            <w:r w:rsidRPr="00E20662">
              <w:rPr>
                <w:rFonts w:ascii="Calibri" w:hAnsi="Calibri" w:cs="Calibri"/>
                <w:b/>
                <w:sz w:val="19"/>
                <w:szCs w:val="19"/>
              </w:rPr>
              <w:t xml:space="preserve"> r.</w:t>
            </w:r>
            <w:r w:rsidR="009F35A4" w:rsidRPr="00E20662">
              <w:rPr>
                <w:rFonts w:ascii="Calibri" w:hAnsi="Calibri" w:cs="Calibri"/>
                <w:b/>
                <w:sz w:val="19"/>
                <w:szCs w:val="19"/>
              </w:rPr>
              <w:t>, przeniesiona Decyzją</w:t>
            </w:r>
            <w:r w:rsidR="00381D5B" w:rsidRPr="00E20662">
              <w:rPr>
                <w:rFonts w:ascii="Calibri" w:hAnsi="Calibri" w:cs="Calibri"/>
                <w:b/>
                <w:sz w:val="19"/>
                <w:szCs w:val="19"/>
              </w:rPr>
              <w:t xml:space="preserve"> Nr 42/I/2022 z dnia 29 kwietnia 2022 </w:t>
            </w:r>
            <w:r w:rsidR="009F35A4" w:rsidRPr="00E20662">
              <w:rPr>
                <w:rFonts w:ascii="Calibri" w:hAnsi="Calibri" w:cs="Calibri"/>
                <w:b/>
                <w:sz w:val="19"/>
                <w:szCs w:val="19"/>
              </w:rPr>
              <w:t>r</w:t>
            </w:r>
            <w:r w:rsidR="00381D5B" w:rsidRPr="00E20662">
              <w:rPr>
                <w:rFonts w:ascii="Calibri" w:hAnsi="Calibri" w:cs="Calibri"/>
                <w:b/>
                <w:sz w:val="19"/>
                <w:szCs w:val="19"/>
              </w:rPr>
              <w:t>. znak UA-IV.6740.4.121.2022.DG</w:t>
            </w:r>
          </w:p>
        </w:tc>
      </w:tr>
      <w:tr w:rsidR="00E20662" w:rsidRPr="00E20662" w:rsidTr="00D902CA">
        <w:trPr>
          <w:trHeight w:val="567"/>
        </w:trPr>
        <w:tc>
          <w:tcPr>
            <w:tcW w:w="3020" w:type="dxa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Planowany termin rozpoczęcia</w:t>
            </w:r>
            <w:r w:rsidRPr="00E20662">
              <w:rPr>
                <w:rFonts w:ascii="Calibri" w:hAnsi="Calibri" w:cs="Calibri"/>
                <w:sz w:val="19"/>
                <w:szCs w:val="19"/>
              </w:rPr>
              <w:br/>
              <w:t>i zakończenia prac budowlanych</w:t>
            </w:r>
          </w:p>
        </w:tc>
        <w:tc>
          <w:tcPr>
            <w:tcW w:w="6756" w:type="dxa"/>
            <w:gridSpan w:val="7"/>
            <w:vAlign w:val="center"/>
          </w:tcPr>
          <w:p w:rsidR="00DB66D5" w:rsidRPr="00E20662" w:rsidRDefault="00197C87" w:rsidP="00DE495D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</w:rPr>
              <w:t>0</w:t>
            </w:r>
            <w:r w:rsidR="00DB1423">
              <w:rPr>
                <w:rFonts w:ascii="Calibri" w:hAnsi="Calibri" w:cs="Calibri"/>
                <w:b/>
                <w:sz w:val="19"/>
                <w:szCs w:val="19"/>
              </w:rPr>
              <w:t>4</w:t>
            </w:r>
            <w:r w:rsidR="00DE495D" w:rsidRPr="00E20662">
              <w:rPr>
                <w:rFonts w:ascii="Calibri" w:hAnsi="Calibri" w:cs="Calibri"/>
                <w:b/>
                <w:sz w:val="19"/>
                <w:szCs w:val="19"/>
              </w:rPr>
              <w:t>.</w:t>
            </w:r>
            <w:r w:rsidR="00DB66D5" w:rsidRPr="00E20662">
              <w:rPr>
                <w:rFonts w:ascii="Calibri" w:hAnsi="Calibri" w:cs="Calibri"/>
                <w:b/>
                <w:sz w:val="19"/>
                <w:szCs w:val="19"/>
              </w:rPr>
              <w:t>20</w:t>
            </w:r>
            <w:r w:rsidR="007F51DA" w:rsidRPr="00E20662">
              <w:rPr>
                <w:rFonts w:ascii="Calibri" w:hAnsi="Calibri" w:cs="Calibri"/>
                <w:b/>
                <w:sz w:val="19"/>
                <w:szCs w:val="19"/>
              </w:rPr>
              <w:t>2</w:t>
            </w:r>
            <w:r w:rsidR="00DB1423">
              <w:rPr>
                <w:rFonts w:ascii="Calibri" w:hAnsi="Calibri" w:cs="Calibri"/>
                <w:b/>
                <w:sz w:val="19"/>
                <w:szCs w:val="19"/>
              </w:rPr>
              <w:t>3</w:t>
            </w:r>
            <w:r w:rsidR="00DB66D5" w:rsidRPr="00E20662">
              <w:rPr>
                <w:rFonts w:ascii="Calibri" w:hAnsi="Calibri" w:cs="Calibri"/>
                <w:b/>
                <w:sz w:val="19"/>
                <w:szCs w:val="19"/>
              </w:rPr>
              <w:t>–</w:t>
            </w:r>
            <w:r w:rsidR="00A716FF" w:rsidRPr="00E20662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="00DB1423">
              <w:rPr>
                <w:rFonts w:ascii="Calibri" w:hAnsi="Calibri" w:cs="Calibri"/>
                <w:b/>
                <w:sz w:val="19"/>
                <w:szCs w:val="19"/>
              </w:rPr>
              <w:t>0</w:t>
            </w:r>
            <w:r w:rsidR="004A3B6A">
              <w:rPr>
                <w:rFonts w:ascii="Calibri" w:hAnsi="Calibri" w:cs="Calibri"/>
                <w:b/>
                <w:sz w:val="19"/>
                <w:szCs w:val="19"/>
              </w:rPr>
              <w:t>7</w:t>
            </w:r>
            <w:r w:rsidR="00DB1423">
              <w:rPr>
                <w:rFonts w:ascii="Calibri" w:hAnsi="Calibri" w:cs="Calibri"/>
                <w:b/>
                <w:sz w:val="19"/>
                <w:szCs w:val="19"/>
              </w:rPr>
              <w:t>.2024</w:t>
            </w:r>
            <w:r w:rsidR="00916B1B" w:rsidRPr="00E20662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="00DB66D5" w:rsidRPr="00E20662">
              <w:rPr>
                <w:rFonts w:ascii="Calibri" w:hAnsi="Calibri" w:cs="Calibri"/>
                <w:b/>
                <w:sz w:val="19"/>
                <w:szCs w:val="19"/>
              </w:rPr>
              <w:t>r.</w:t>
            </w:r>
          </w:p>
        </w:tc>
      </w:tr>
      <w:tr w:rsidR="00E20662" w:rsidRPr="00E20662" w:rsidTr="00D902CA">
        <w:trPr>
          <w:trHeight w:val="567"/>
        </w:trPr>
        <w:tc>
          <w:tcPr>
            <w:tcW w:w="3020" w:type="dxa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Termin, do którego nastąpi przeniesienie własności nieruchomości</w:t>
            </w:r>
          </w:p>
        </w:tc>
        <w:tc>
          <w:tcPr>
            <w:tcW w:w="6756" w:type="dxa"/>
            <w:gridSpan w:val="7"/>
            <w:vAlign w:val="center"/>
          </w:tcPr>
          <w:p w:rsidR="00DB66D5" w:rsidRPr="00E20662" w:rsidRDefault="004A3B6A" w:rsidP="00D902CA">
            <w:pPr>
              <w:rPr>
                <w:rFonts w:ascii="Calibri" w:hAnsi="Calibri" w:cs="Calibri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>31.01.2025</w:t>
            </w:r>
            <w:r w:rsidR="00A716FF" w:rsidRPr="00E20662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="00DB66D5" w:rsidRPr="00E20662">
              <w:rPr>
                <w:rFonts w:ascii="Calibri" w:hAnsi="Calibri" w:cs="Calibri"/>
                <w:b/>
                <w:sz w:val="19"/>
                <w:szCs w:val="19"/>
              </w:rPr>
              <w:t>r.</w:t>
            </w:r>
          </w:p>
        </w:tc>
      </w:tr>
      <w:tr w:rsidR="00E20662" w:rsidRPr="00E20662" w:rsidTr="00D902CA">
        <w:trPr>
          <w:trHeight w:val="577"/>
        </w:trPr>
        <w:tc>
          <w:tcPr>
            <w:tcW w:w="3020" w:type="dxa"/>
            <w:vMerge w:val="restart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Opis przedsięwzięcia deweloperskiego</w:t>
            </w:r>
          </w:p>
          <w:p w:rsidR="00DB66D5" w:rsidRPr="00E20662" w:rsidRDefault="00DB66D5" w:rsidP="00D902CA">
            <w:pPr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3589" w:type="dxa"/>
            <w:gridSpan w:val="4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Liczba budynków</w:t>
            </w:r>
          </w:p>
        </w:tc>
        <w:tc>
          <w:tcPr>
            <w:tcW w:w="3167" w:type="dxa"/>
            <w:gridSpan w:val="3"/>
            <w:vAlign w:val="center"/>
          </w:tcPr>
          <w:p w:rsidR="00DB66D5" w:rsidRPr="00E20662" w:rsidRDefault="00A716FF" w:rsidP="00D902CA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</w:rPr>
              <w:t>I</w:t>
            </w:r>
          </w:p>
        </w:tc>
      </w:tr>
      <w:tr w:rsidR="00E20662" w:rsidRPr="00E20662" w:rsidTr="00197C87">
        <w:trPr>
          <w:trHeight w:val="774"/>
        </w:trPr>
        <w:tc>
          <w:tcPr>
            <w:tcW w:w="3020" w:type="dxa"/>
            <w:vMerge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3589" w:type="dxa"/>
            <w:gridSpan w:val="4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Rozmieszczenie ich na nieruchomości (należy podać minimalny odstęp pomiędzy budynkami)</w:t>
            </w:r>
          </w:p>
        </w:tc>
        <w:tc>
          <w:tcPr>
            <w:tcW w:w="3167" w:type="dxa"/>
            <w:gridSpan w:val="3"/>
            <w:vAlign w:val="center"/>
          </w:tcPr>
          <w:p w:rsidR="00DB66D5" w:rsidRPr="00E20662" w:rsidRDefault="00A716FF" w:rsidP="00D902CA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</w:rPr>
              <w:t>NIE DOTYCZY</w:t>
            </w:r>
          </w:p>
        </w:tc>
      </w:tr>
      <w:tr w:rsidR="00E20662" w:rsidRPr="00E20662" w:rsidTr="00D902CA">
        <w:trPr>
          <w:trHeight w:val="567"/>
        </w:trPr>
        <w:tc>
          <w:tcPr>
            <w:tcW w:w="3020" w:type="dxa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Sposób pomiaru powierzchni lokalu mieszkalnego lub domu jednorodzinnego</w:t>
            </w:r>
          </w:p>
        </w:tc>
        <w:tc>
          <w:tcPr>
            <w:tcW w:w="6756" w:type="dxa"/>
            <w:gridSpan w:val="7"/>
          </w:tcPr>
          <w:p w:rsidR="00DB66D5" w:rsidRPr="00E20662" w:rsidRDefault="00197C87" w:rsidP="00197C87">
            <w:pPr>
              <w:spacing w:before="100" w:beforeAutospacing="1" w:after="100" w:afterAutospacing="1"/>
              <w:outlineLvl w:val="0"/>
              <w:rPr>
                <w:rFonts w:cs="Calibri"/>
                <w:bCs/>
                <w:kern w:val="36"/>
                <w:sz w:val="19"/>
                <w:szCs w:val="19"/>
                <w:lang w:eastAsia="pl-PL"/>
              </w:rPr>
            </w:pPr>
            <w:r w:rsidRPr="00E20662">
              <w:rPr>
                <w:rFonts w:cs="Calibri"/>
                <w:bCs/>
                <w:kern w:val="36"/>
                <w:sz w:val="19"/>
                <w:szCs w:val="19"/>
                <w:lang w:eastAsia="pl-PL"/>
              </w:rPr>
              <w:t>PN-ISO 9836:2015-12 Właściwości użytkowe w budownictwie - Określanie i obliczanie wskaźników powierzchniowych i kubaturowych</w:t>
            </w:r>
          </w:p>
        </w:tc>
      </w:tr>
      <w:tr w:rsidR="00E20662" w:rsidRPr="00E20662" w:rsidTr="00D902CA">
        <w:trPr>
          <w:trHeight w:val="931"/>
        </w:trPr>
        <w:tc>
          <w:tcPr>
            <w:tcW w:w="3020" w:type="dxa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Zamierzony sposób i procentowy podział źródeł finansowania przedsięwzięcia deweloperskiego</w:t>
            </w:r>
          </w:p>
        </w:tc>
        <w:tc>
          <w:tcPr>
            <w:tcW w:w="6756" w:type="dxa"/>
            <w:gridSpan w:val="7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 xml:space="preserve">ok. 20 % - środki własne </w:t>
            </w:r>
          </w:p>
          <w:p w:rsidR="00DB66D5" w:rsidRPr="00E20662" w:rsidRDefault="00DB66D5" w:rsidP="00D902CA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ok. 80 % - środki pochodzące z otwartego rachunku powierniczego</w:t>
            </w:r>
          </w:p>
          <w:p w:rsidR="004E2810" w:rsidRPr="00E20662" w:rsidRDefault="00DB66D5" w:rsidP="00D902CA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Na dzień sporządzania prospektu informacyjnego deweloper nie korzysta z kredytu na finansowanie nieruchomości.</w:t>
            </w:r>
          </w:p>
        </w:tc>
      </w:tr>
      <w:tr w:rsidR="00E20662" w:rsidRPr="00E20662" w:rsidTr="00D902CA">
        <w:trPr>
          <w:trHeight w:val="567"/>
        </w:trPr>
        <w:tc>
          <w:tcPr>
            <w:tcW w:w="3020" w:type="dxa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Środki ochrony nabywców</w:t>
            </w:r>
          </w:p>
        </w:tc>
        <w:tc>
          <w:tcPr>
            <w:tcW w:w="3589" w:type="dxa"/>
            <w:gridSpan w:val="4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Bankowy rachunek powierni</w:t>
            </w:r>
            <w:r w:rsidR="00D902CA" w:rsidRPr="00E20662">
              <w:rPr>
                <w:rFonts w:ascii="Calibri" w:hAnsi="Calibri" w:cs="Calibri"/>
                <w:sz w:val="19"/>
                <w:szCs w:val="19"/>
              </w:rPr>
              <w:t xml:space="preserve">czy służący gromadzeniu środków </w:t>
            </w:r>
            <w:r w:rsidRPr="00E20662">
              <w:rPr>
                <w:rFonts w:ascii="Calibri" w:hAnsi="Calibri" w:cs="Calibri"/>
                <w:sz w:val="19"/>
                <w:szCs w:val="19"/>
              </w:rPr>
              <w:t>nabywcy</w:t>
            </w:r>
          </w:p>
        </w:tc>
        <w:tc>
          <w:tcPr>
            <w:tcW w:w="1041" w:type="dxa"/>
            <w:gridSpan w:val="2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</w:rPr>
              <w:t>otwarty</w:t>
            </w:r>
          </w:p>
        </w:tc>
        <w:tc>
          <w:tcPr>
            <w:tcW w:w="2126" w:type="dxa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b/>
                <w:strike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strike/>
                <w:sz w:val="19"/>
                <w:szCs w:val="19"/>
              </w:rPr>
              <w:t>zamknięty</w:t>
            </w:r>
          </w:p>
        </w:tc>
      </w:tr>
      <w:tr w:rsidR="00E20662" w:rsidRPr="00E20662" w:rsidTr="00D902CA">
        <w:trPr>
          <w:trHeight w:val="567"/>
        </w:trPr>
        <w:tc>
          <w:tcPr>
            <w:tcW w:w="3020" w:type="dxa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Główne zasady funkcjonowania</w:t>
            </w:r>
            <w:r w:rsidRPr="00E20662">
              <w:rPr>
                <w:rFonts w:ascii="Calibri" w:hAnsi="Calibri" w:cs="Calibri"/>
                <w:sz w:val="19"/>
                <w:szCs w:val="19"/>
              </w:rPr>
              <w:br/>
              <w:t>wybranego rodzaju zabezpieczenia środków nabywcy</w:t>
            </w:r>
          </w:p>
        </w:tc>
        <w:tc>
          <w:tcPr>
            <w:tcW w:w="6756" w:type="dxa"/>
            <w:gridSpan w:val="7"/>
            <w:vAlign w:val="center"/>
          </w:tcPr>
          <w:p w:rsidR="00DB66D5" w:rsidRPr="00E20662" w:rsidRDefault="00DB66D5" w:rsidP="00D902CA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Bank wypłaci deweloperowi środki zgromadzone na otwartym mieszkaniowym rachunku powierniczym po stwierdzeniu zakończenia danego etapu realizacji przedsięwzięcia deweloperskiego.</w:t>
            </w:r>
          </w:p>
        </w:tc>
      </w:tr>
      <w:tr w:rsidR="00E20662" w:rsidRPr="00E20662" w:rsidTr="00D902CA">
        <w:trPr>
          <w:trHeight w:val="567"/>
        </w:trPr>
        <w:tc>
          <w:tcPr>
            <w:tcW w:w="3020" w:type="dxa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Nazwa instytucji zapewniającej</w:t>
            </w:r>
            <w:r w:rsidRPr="00E20662">
              <w:rPr>
                <w:rFonts w:ascii="Calibri" w:hAnsi="Calibri" w:cs="Calibri"/>
                <w:sz w:val="19"/>
                <w:szCs w:val="19"/>
              </w:rPr>
              <w:br/>
              <w:t>bezpieczeństwo środków nabywcy</w:t>
            </w:r>
          </w:p>
        </w:tc>
        <w:tc>
          <w:tcPr>
            <w:tcW w:w="6756" w:type="dxa"/>
            <w:gridSpan w:val="7"/>
          </w:tcPr>
          <w:p w:rsidR="00DB66D5" w:rsidRPr="00E20662" w:rsidRDefault="00DB66D5" w:rsidP="00D902CA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</w:rPr>
              <w:t xml:space="preserve">Banki Polskiej Spółdzielczości S.A. </w:t>
            </w:r>
            <w:r w:rsidRPr="00E20662">
              <w:rPr>
                <w:rFonts w:ascii="Calibri" w:hAnsi="Calibri" w:cs="Calibri"/>
                <w:sz w:val="19"/>
                <w:szCs w:val="19"/>
              </w:rPr>
              <w:t xml:space="preserve">z siedzibą w Warszawie, 00-844 Warszawa, ul. Grzybowska 81, wpisanym przez Sąd Rejonowy dla m.st. Warszawy </w:t>
            </w:r>
            <w:r w:rsidRPr="00E20662">
              <w:rPr>
                <w:rFonts w:ascii="Calibri" w:hAnsi="Calibri" w:cs="Calibri"/>
                <w:sz w:val="19"/>
                <w:szCs w:val="19"/>
              </w:rPr>
              <w:br/>
              <w:t>w Warszawie XII Wydział Gospodarczy do rejestru przedsiębiorców pod numerem KRS: 0000069229, NIP: 896-00-01-959, REGON: 930603359, o kapitale zakładowym w wysokości 354.096.542,00 zł, który został w pełni wpłacony.</w:t>
            </w:r>
          </w:p>
          <w:p w:rsidR="00DB66D5" w:rsidRPr="00E20662" w:rsidRDefault="00DB66D5" w:rsidP="00D902CA">
            <w:pPr>
              <w:jc w:val="both"/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</w:rPr>
              <w:t>Oddział w Kielcach, ul. Planty 8, 25-502 Kielce</w:t>
            </w:r>
          </w:p>
        </w:tc>
      </w:tr>
      <w:tr w:rsidR="00E20662" w:rsidRPr="00E20662" w:rsidTr="00D902CA">
        <w:trPr>
          <w:trHeight w:val="567"/>
        </w:trPr>
        <w:tc>
          <w:tcPr>
            <w:tcW w:w="3020" w:type="dxa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 xml:space="preserve">Harmonogram przedsięwzięcia deweloperskiego </w:t>
            </w:r>
          </w:p>
        </w:tc>
        <w:tc>
          <w:tcPr>
            <w:tcW w:w="6756" w:type="dxa"/>
            <w:gridSpan w:val="7"/>
            <w:vAlign w:val="center"/>
          </w:tcPr>
          <w:p w:rsidR="00DB66D5" w:rsidRPr="00E20662" w:rsidRDefault="00DB66D5" w:rsidP="00E20662">
            <w:pPr>
              <w:rPr>
                <w:rFonts w:cs="Calibri"/>
                <w:sz w:val="20"/>
                <w:szCs w:val="20"/>
              </w:rPr>
            </w:pPr>
            <w:r w:rsidRPr="00E20662">
              <w:rPr>
                <w:rFonts w:cs="Calibri"/>
                <w:b/>
                <w:sz w:val="20"/>
                <w:szCs w:val="20"/>
              </w:rPr>
              <w:t xml:space="preserve">I etap </w:t>
            </w:r>
            <w:r w:rsidR="00D15401" w:rsidRPr="00E20662">
              <w:rPr>
                <w:rFonts w:cs="Calibri"/>
                <w:b/>
                <w:sz w:val="20"/>
                <w:szCs w:val="20"/>
              </w:rPr>
              <w:t>–</w:t>
            </w:r>
            <w:r w:rsidRPr="00E20662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D15401" w:rsidRPr="00E20662">
              <w:rPr>
                <w:rFonts w:cs="Calibri"/>
                <w:bCs/>
                <w:sz w:val="20"/>
                <w:szCs w:val="20"/>
              </w:rPr>
              <w:t>zakup nieruchomości,</w:t>
            </w:r>
            <w:r w:rsidR="00D15401" w:rsidRPr="00E20662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E20662">
              <w:rPr>
                <w:rFonts w:cs="Calibri"/>
                <w:sz w:val="20"/>
                <w:szCs w:val="20"/>
              </w:rPr>
              <w:t xml:space="preserve">projekt, pozwolenie na budowę, zagospodarowanie placu budowy – </w:t>
            </w:r>
            <w:r w:rsidR="00D15401" w:rsidRPr="00E20662">
              <w:rPr>
                <w:rFonts w:cs="Calibri"/>
                <w:sz w:val="20"/>
                <w:szCs w:val="20"/>
              </w:rPr>
              <w:t xml:space="preserve">zrealizowany </w:t>
            </w:r>
            <w:r w:rsidR="00605466" w:rsidRPr="00E20662">
              <w:rPr>
                <w:rFonts w:cs="Calibri"/>
                <w:sz w:val="20"/>
                <w:szCs w:val="20"/>
              </w:rPr>
              <w:t xml:space="preserve">– </w:t>
            </w:r>
            <w:r w:rsidR="00605466" w:rsidRPr="00E20662">
              <w:rPr>
                <w:rFonts w:cs="Calibri"/>
                <w:b/>
                <w:bCs/>
                <w:sz w:val="20"/>
                <w:szCs w:val="20"/>
              </w:rPr>
              <w:t>20 %</w:t>
            </w:r>
          </w:p>
          <w:p w:rsidR="00DB66D5" w:rsidRPr="00E20662" w:rsidRDefault="00C21F69" w:rsidP="00E20662">
            <w:pPr>
              <w:rPr>
                <w:rFonts w:cs="Calibri"/>
                <w:sz w:val="20"/>
                <w:szCs w:val="20"/>
                <w:lang w:eastAsia="pl-PL"/>
              </w:rPr>
            </w:pPr>
            <w:r w:rsidRPr="00823BF6">
              <w:rPr>
                <w:rFonts w:cs="Calibri"/>
                <w:b/>
                <w:sz w:val="20"/>
                <w:szCs w:val="20"/>
              </w:rPr>
              <w:t>II</w:t>
            </w:r>
            <w:r w:rsidR="00DB66D5" w:rsidRPr="00823BF6">
              <w:rPr>
                <w:rFonts w:cs="Calibri"/>
                <w:b/>
                <w:sz w:val="20"/>
                <w:szCs w:val="20"/>
              </w:rPr>
              <w:t xml:space="preserve"> etap </w:t>
            </w:r>
            <w:r w:rsidR="00D15401" w:rsidRPr="00823BF6">
              <w:rPr>
                <w:rFonts w:cs="Calibri"/>
                <w:b/>
                <w:sz w:val="20"/>
                <w:szCs w:val="20"/>
              </w:rPr>
              <w:t>–</w:t>
            </w:r>
            <w:r w:rsidR="00DB66D5" w:rsidRPr="00823BF6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D15401" w:rsidRPr="00823BF6">
              <w:rPr>
                <w:rFonts w:cs="Calibri"/>
                <w:sz w:val="20"/>
                <w:szCs w:val="20"/>
              </w:rPr>
              <w:t>Wyk</w:t>
            </w:r>
            <w:r w:rsidR="00197C87" w:rsidRPr="00823BF6">
              <w:rPr>
                <w:rFonts w:cs="Calibri"/>
                <w:sz w:val="20"/>
                <w:szCs w:val="20"/>
              </w:rPr>
              <w:t>onanie stropu nad kondygnacją garażu</w:t>
            </w:r>
            <w:r w:rsidR="00D15401" w:rsidRPr="00823BF6">
              <w:rPr>
                <w:rFonts w:cs="Calibri"/>
                <w:sz w:val="20"/>
                <w:szCs w:val="20"/>
              </w:rPr>
              <w:t xml:space="preserve"> (przerwa technologiczna na dźwig)</w:t>
            </w:r>
            <w:r w:rsidR="00605466" w:rsidRPr="00823BF6">
              <w:rPr>
                <w:rFonts w:cs="Calibri"/>
                <w:sz w:val="20"/>
                <w:szCs w:val="20"/>
              </w:rPr>
              <w:t xml:space="preserve"> </w:t>
            </w:r>
            <w:r w:rsidR="00DB66D5" w:rsidRPr="00823BF6">
              <w:rPr>
                <w:rFonts w:cs="Calibri"/>
                <w:sz w:val="20"/>
                <w:szCs w:val="20"/>
                <w:lang w:eastAsia="pl-PL"/>
              </w:rPr>
              <w:t xml:space="preserve">– </w:t>
            </w:r>
            <w:r w:rsidR="00DB66D5" w:rsidRPr="00823BF6">
              <w:rPr>
                <w:rFonts w:cs="Calibri"/>
                <w:b/>
                <w:bCs/>
                <w:sz w:val="20"/>
                <w:szCs w:val="20"/>
                <w:lang w:eastAsia="pl-PL"/>
              </w:rPr>
              <w:t xml:space="preserve">ok. </w:t>
            </w:r>
            <w:r w:rsidR="00DB1423" w:rsidRPr="00823BF6">
              <w:rPr>
                <w:rFonts w:cs="Calibri"/>
                <w:b/>
                <w:bCs/>
                <w:sz w:val="20"/>
                <w:szCs w:val="20"/>
                <w:lang w:eastAsia="pl-PL"/>
              </w:rPr>
              <w:t>30.0</w:t>
            </w:r>
            <w:r w:rsidR="004A3B6A">
              <w:rPr>
                <w:rFonts w:cs="Calibri"/>
                <w:b/>
                <w:bCs/>
                <w:sz w:val="20"/>
                <w:szCs w:val="20"/>
                <w:lang w:eastAsia="pl-PL"/>
              </w:rPr>
              <w:t>9</w:t>
            </w:r>
            <w:r w:rsidR="00DB1423" w:rsidRPr="00823BF6">
              <w:rPr>
                <w:rFonts w:cs="Calibri"/>
                <w:b/>
                <w:bCs/>
                <w:sz w:val="20"/>
                <w:szCs w:val="20"/>
                <w:lang w:eastAsia="pl-PL"/>
              </w:rPr>
              <w:t>.2023</w:t>
            </w:r>
            <w:r w:rsidRPr="00823BF6">
              <w:rPr>
                <w:rFonts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DB66D5" w:rsidRPr="00823BF6">
              <w:rPr>
                <w:rFonts w:cs="Calibri"/>
                <w:b/>
                <w:bCs/>
                <w:sz w:val="20"/>
                <w:szCs w:val="20"/>
                <w:lang w:eastAsia="pl-PL"/>
              </w:rPr>
              <w:t>r.</w:t>
            </w:r>
            <w:r w:rsidR="00605466" w:rsidRPr="00823BF6">
              <w:rPr>
                <w:rFonts w:cs="Calibri"/>
                <w:b/>
                <w:bCs/>
                <w:sz w:val="20"/>
                <w:szCs w:val="20"/>
                <w:lang w:eastAsia="pl-PL"/>
              </w:rPr>
              <w:t xml:space="preserve"> – 1</w:t>
            </w:r>
            <w:r w:rsidR="00652446" w:rsidRPr="00823BF6">
              <w:rPr>
                <w:rFonts w:cs="Calibri"/>
                <w:b/>
                <w:bCs/>
                <w:sz w:val="20"/>
                <w:szCs w:val="20"/>
                <w:lang w:eastAsia="pl-PL"/>
              </w:rPr>
              <w:t>5</w:t>
            </w:r>
            <w:r w:rsidR="00605466" w:rsidRPr="00823BF6">
              <w:rPr>
                <w:rFonts w:cs="Calibri"/>
                <w:b/>
                <w:bCs/>
                <w:sz w:val="20"/>
                <w:szCs w:val="20"/>
                <w:lang w:eastAsia="pl-PL"/>
              </w:rPr>
              <w:t xml:space="preserve"> %</w:t>
            </w:r>
            <w:r w:rsidR="00DB66D5" w:rsidRPr="00E20662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</w:p>
          <w:p w:rsidR="00E20662" w:rsidRDefault="00C21F69" w:rsidP="00E20662">
            <w:pPr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E20662">
              <w:rPr>
                <w:rFonts w:cs="Calibri"/>
                <w:b/>
                <w:sz w:val="20"/>
                <w:szCs w:val="20"/>
              </w:rPr>
              <w:t>III</w:t>
            </w:r>
            <w:r w:rsidR="00DB66D5" w:rsidRPr="00E20662">
              <w:rPr>
                <w:rFonts w:cs="Calibri"/>
                <w:b/>
                <w:sz w:val="20"/>
                <w:szCs w:val="20"/>
              </w:rPr>
              <w:t xml:space="preserve"> etap </w:t>
            </w:r>
            <w:r w:rsidR="00D15401" w:rsidRPr="00E20662">
              <w:rPr>
                <w:rFonts w:cs="Calibri"/>
                <w:b/>
                <w:sz w:val="20"/>
                <w:szCs w:val="20"/>
              </w:rPr>
              <w:t>–</w:t>
            </w:r>
            <w:r w:rsidR="00605466" w:rsidRPr="00E20662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="00D15401" w:rsidRPr="00E20662">
              <w:rPr>
                <w:rFonts w:cs="Calibri"/>
                <w:sz w:val="20"/>
                <w:szCs w:val="20"/>
                <w:lang w:eastAsia="pl-PL"/>
              </w:rPr>
              <w:t>Wykonanie stropu nad I piętrem</w:t>
            </w:r>
            <w:r w:rsidR="005A1A6F" w:rsidRPr="00E20662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="00492B98" w:rsidRPr="00E20662">
              <w:rPr>
                <w:rFonts w:cs="Calibri"/>
                <w:sz w:val="20"/>
                <w:szCs w:val="20"/>
                <w:lang w:eastAsia="pl-PL"/>
              </w:rPr>
              <w:t xml:space="preserve">– ok. </w:t>
            </w:r>
            <w:r w:rsidR="00DB1423">
              <w:rPr>
                <w:rFonts w:cs="Calibri"/>
                <w:b/>
                <w:bCs/>
                <w:sz w:val="20"/>
                <w:szCs w:val="20"/>
                <w:lang w:eastAsia="pl-PL"/>
              </w:rPr>
              <w:t>15.</w:t>
            </w:r>
            <w:r w:rsidR="00652446">
              <w:rPr>
                <w:rFonts w:cs="Calibri"/>
                <w:b/>
                <w:bCs/>
                <w:sz w:val="20"/>
                <w:szCs w:val="20"/>
                <w:lang w:eastAsia="pl-PL"/>
              </w:rPr>
              <w:t>1</w:t>
            </w:r>
            <w:r w:rsidR="004A3B6A">
              <w:rPr>
                <w:rFonts w:cs="Calibri"/>
                <w:b/>
                <w:bCs/>
                <w:sz w:val="20"/>
                <w:szCs w:val="20"/>
                <w:lang w:eastAsia="pl-PL"/>
              </w:rPr>
              <w:t>1</w:t>
            </w:r>
            <w:r w:rsidR="00DB1423">
              <w:rPr>
                <w:rFonts w:cs="Calibri"/>
                <w:b/>
                <w:bCs/>
                <w:sz w:val="20"/>
                <w:szCs w:val="20"/>
                <w:lang w:eastAsia="pl-PL"/>
              </w:rPr>
              <w:t>.2023</w:t>
            </w:r>
            <w:r w:rsidR="00E20662">
              <w:rPr>
                <w:rFonts w:cs="Calibri"/>
                <w:b/>
                <w:bCs/>
                <w:sz w:val="20"/>
                <w:szCs w:val="20"/>
                <w:lang w:eastAsia="pl-PL"/>
              </w:rPr>
              <w:t xml:space="preserve"> r. – 20</w:t>
            </w:r>
            <w:r w:rsidR="00605466" w:rsidRPr="00E20662">
              <w:rPr>
                <w:rFonts w:cs="Calibri"/>
                <w:b/>
                <w:bCs/>
                <w:sz w:val="20"/>
                <w:szCs w:val="20"/>
                <w:lang w:eastAsia="pl-PL"/>
              </w:rPr>
              <w:t xml:space="preserve"> %</w:t>
            </w:r>
          </w:p>
          <w:p w:rsidR="00E20662" w:rsidRDefault="005A1A6F" w:rsidP="00E20662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E20662">
              <w:rPr>
                <w:rFonts w:cs="Calibri"/>
                <w:b/>
                <w:sz w:val="20"/>
                <w:szCs w:val="20"/>
              </w:rPr>
              <w:t>I</w:t>
            </w:r>
            <w:r w:rsidR="00C21F69" w:rsidRPr="00E20662">
              <w:rPr>
                <w:rFonts w:cs="Calibri"/>
                <w:b/>
                <w:sz w:val="20"/>
                <w:szCs w:val="20"/>
              </w:rPr>
              <w:t>V</w:t>
            </w:r>
            <w:r w:rsidR="00DB66D5" w:rsidRPr="00E20662">
              <w:rPr>
                <w:rFonts w:cs="Calibri"/>
                <w:b/>
                <w:sz w:val="20"/>
                <w:szCs w:val="20"/>
              </w:rPr>
              <w:t xml:space="preserve"> etap </w:t>
            </w:r>
            <w:r w:rsidR="00C21F69" w:rsidRPr="00E20662">
              <w:rPr>
                <w:rFonts w:cs="Calibri"/>
                <w:b/>
                <w:sz w:val="20"/>
                <w:szCs w:val="20"/>
              </w:rPr>
              <w:t>–</w:t>
            </w:r>
            <w:r w:rsidR="00DB66D5" w:rsidRPr="00E20662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E20662" w:rsidRPr="00E20662">
              <w:rPr>
                <w:rFonts w:cs="Calibri"/>
                <w:sz w:val="20"/>
                <w:szCs w:val="20"/>
                <w:lang w:eastAsia="pl-PL"/>
              </w:rPr>
              <w:t>Wykonanie stropu nad I</w:t>
            </w:r>
            <w:r w:rsidR="00E20662">
              <w:rPr>
                <w:rFonts w:cs="Calibri"/>
                <w:sz w:val="20"/>
                <w:szCs w:val="20"/>
                <w:lang w:eastAsia="pl-PL"/>
              </w:rPr>
              <w:t>II</w:t>
            </w:r>
            <w:r w:rsidR="00E20662" w:rsidRPr="00E20662">
              <w:rPr>
                <w:rFonts w:cs="Calibri"/>
                <w:sz w:val="20"/>
                <w:szCs w:val="20"/>
                <w:lang w:eastAsia="pl-PL"/>
              </w:rPr>
              <w:t xml:space="preserve"> piętrem</w:t>
            </w:r>
            <w:r w:rsidR="00E20662">
              <w:rPr>
                <w:rFonts w:cs="Calibri"/>
                <w:sz w:val="20"/>
                <w:szCs w:val="20"/>
                <w:lang w:eastAsia="pl-PL"/>
              </w:rPr>
              <w:t xml:space="preserve"> – ok. </w:t>
            </w:r>
            <w:r w:rsidR="00DB1423">
              <w:rPr>
                <w:rFonts w:cs="Calibri"/>
                <w:b/>
                <w:sz w:val="20"/>
                <w:szCs w:val="20"/>
                <w:lang w:eastAsia="pl-PL"/>
              </w:rPr>
              <w:t>31.1</w:t>
            </w:r>
            <w:r w:rsidR="004A3B6A">
              <w:rPr>
                <w:rFonts w:cs="Calibri"/>
                <w:b/>
                <w:sz w:val="20"/>
                <w:szCs w:val="20"/>
                <w:lang w:eastAsia="pl-PL"/>
              </w:rPr>
              <w:t>2</w:t>
            </w:r>
            <w:r w:rsidR="00DB1423">
              <w:rPr>
                <w:rFonts w:cs="Calibri"/>
                <w:b/>
                <w:sz w:val="20"/>
                <w:szCs w:val="20"/>
                <w:lang w:eastAsia="pl-PL"/>
              </w:rPr>
              <w:t>.2023</w:t>
            </w:r>
            <w:r w:rsidR="00E20662" w:rsidRPr="00E20662">
              <w:rPr>
                <w:rFonts w:cs="Calibri"/>
                <w:b/>
                <w:sz w:val="20"/>
                <w:szCs w:val="20"/>
                <w:lang w:eastAsia="pl-PL"/>
              </w:rPr>
              <w:t xml:space="preserve"> -</w:t>
            </w:r>
            <w:r w:rsidR="00E20662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="00E20662" w:rsidRPr="00E20662">
              <w:rPr>
                <w:rFonts w:cs="Calibri"/>
                <w:b/>
                <w:sz w:val="20"/>
                <w:szCs w:val="20"/>
                <w:lang w:eastAsia="pl-PL"/>
              </w:rPr>
              <w:t>2</w:t>
            </w:r>
            <w:r w:rsidR="00652446">
              <w:rPr>
                <w:rFonts w:cs="Calibri"/>
                <w:b/>
                <w:sz w:val="20"/>
                <w:szCs w:val="20"/>
                <w:lang w:eastAsia="pl-PL"/>
              </w:rPr>
              <w:t>0</w:t>
            </w:r>
            <w:r w:rsidR="00E20662" w:rsidRPr="00E20662">
              <w:rPr>
                <w:rFonts w:cs="Calibri"/>
                <w:b/>
                <w:sz w:val="20"/>
                <w:szCs w:val="20"/>
                <w:lang w:eastAsia="pl-PL"/>
              </w:rPr>
              <w:t xml:space="preserve"> %</w:t>
            </w:r>
          </w:p>
          <w:p w:rsidR="005A1A6F" w:rsidRPr="00E20662" w:rsidRDefault="005A1A6F" w:rsidP="00E20662">
            <w:pPr>
              <w:rPr>
                <w:rFonts w:cs="Calibri"/>
                <w:bCs/>
                <w:sz w:val="20"/>
                <w:szCs w:val="20"/>
              </w:rPr>
            </w:pPr>
            <w:r w:rsidRPr="00E20662">
              <w:rPr>
                <w:rFonts w:cs="Calibri"/>
                <w:b/>
                <w:bCs/>
                <w:sz w:val="20"/>
                <w:szCs w:val="20"/>
              </w:rPr>
              <w:t>V etap –</w:t>
            </w:r>
            <w:r w:rsidR="00E20662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="00E20662" w:rsidRPr="00E20662">
              <w:rPr>
                <w:rFonts w:cs="Calibri"/>
                <w:sz w:val="20"/>
                <w:szCs w:val="20"/>
                <w:lang w:eastAsia="pl-PL"/>
              </w:rPr>
              <w:t xml:space="preserve">Wykonanie stanu surowego otwartego; </w:t>
            </w:r>
            <w:r w:rsidR="00E20662">
              <w:rPr>
                <w:rFonts w:cs="Calibri"/>
                <w:sz w:val="20"/>
                <w:szCs w:val="20"/>
                <w:lang w:eastAsia="pl-PL"/>
              </w:rPr>
              <w:t>montaż stolarki okiennej</w:t>
            </w:r>
            <w:r w:rsidR="00E20662" w:rsidRPr="00E20662">
              <w:rPr>
                <w:rFonts w:cs="Calibri"/>
                <w:sz w:val="20"/>
                <w:szCs w:val="20"/>
                <w:lang w:eastAsia="pl-PL"/>
              </w:rPr>
              <w:t xml:space="preserve"> -</w:t>
            </w:r>
            <w:r w:rsidRPr="00E20662">
              <w:rPr>
                <w:rFonts w:cs="Calibri"/>
                <w:bCs/>
                <w:sz w:val="20"/>
                <w:szCs w:val="20"/>
              </w:rPr>
              <w:t xml:space="preserve"> ok. </w:t>
            </w:r>
            <w:r w:rsidR="004A3B6A">
              <w:rPr>
                <w:rFonts w:cs="Calibri"/>
                <w:b/>
                <w:bCs/>
                <w:sz w:val="20"/>
                <w:szCs w:val="20"/>
              </w:rPr>
              <w:t>29.02</w:t>
            </w:r>
            <w:r w:rsidR="00652446">
              <w:rPr>
                <w:rFonts w:cs="Calibri"/>
                <w:b/>
                <w:bCs/>
                <w:sz w:val="20"/>
                <w:szCs w:val="20"/>
              </w:rPr>
              <w:t>.2024</w:t>
            </w:r>
            <w:r w:rsidR="00E20662">
              <w:rPr>
                <w:rFonts w:cs="Calibri"/>
                <w:b/>
                <w:bCs/>
                <w:sz w:val="20"/>
                <w:szCs w:val="20"/>
              </w:rPr>
              <w:t xml:space="preserve"> - 15</w:t>
            </w:r>
            <w:r w:rsidRPr="00E20662">
              <w:rPr>
                <w:rFonts w:cs="Calibri"/>
                <w:b/>
                <w:bCs/>
                <w:sz w:val="20"/>
                <w:szCs w:val="20"/>
              </w:rPr>
              <w:t xml:space="preserve"> %</w:t>
            </w:r>
          </w:p>
          <w:p w:rsidR="00DB66D5" w:rsidRPr="00E20662" w:rsidRDefault="00C21F69" w:rsidP="00E20662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cs="Calibri"/>
                <w:b/>
                <w:sz w:val="20"/>
                <w:szCs w:val="20"/>
              </w:rPr>
              <w:t>VI</w:t>
            </w:r>
            <w:r w:rsidR="00DB66D5" w:rsidRPr="00E20662">
              <w:rPr>
                <w:rFonts w:cs="Calibri"/>
                <w:b/>
                <w:sz w:val="20"/>
                <w:szCs w:val="20"/>
              </w:rPr>
              <w:t xml:space="preserve"> etap </w:t>
            </w:r>
            <w:r w:rsidR="00E04B12" w:rsidRPr="00E20662">
              <w:rPr>
                <w:rFonts w:cs="Calibri"/>
                <w:b/>
                <w:sz w:val="20"/>
                <w:szCs w:val="20"/>
              </w:rPr>
              <w:t>–</w:t>
            </w:r>
            <w:r w:rsidR="00605466" w:rsidRPr="00E20662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="00492B98" w:rsidRPr="00E20662">
              <w:rPr>
                <w:rFonts w:cs="Calibri"/>
                <w:sz w:val="20"/>
                <w:szCs w:val="20"/>
                <w:lang w:eastAsia="pl-PL"/>
              </w:rPr>
              <w:t>Zakończenie instalacji elektrycznej; sanitarnej, z</w:t>
            </w:r>
            <w:r w:rsidR="00605466" w:rsidRPr="00E20662">
              <w:rPr>
                <w:rFonts w:cs="Calibri"/>
                <w:sz w:val="20"/>
                <w:szCs w:val="20"/>
                <w:lang w:eastAsia="pl-PL"/>
              </w:rPr>
              <w:t>akończenie robót wykończeniowych; zagospodarowanie terenu</w:t>
            </w:r>
            <w:r w:rsidR="00605466" w:rsidRPr="00E20662">
              <w:rPr>
                <w:rFonts w:cs="Calibri"/>
                <w:sz w:val="20"/>
                <w:szCs w:val="20"/>
              </w:rPr>
              <w:t xml:space="preserve"> </w:t>
            </w:r>
            <w:r w:rsidR="004F6454" w:rsidRPr="00E20662">
              <w:rPr>
                <w:rFonts w:cs="Calibri"/>
                <w:sz w:val="20"/>
                <w:szCs w:val="20"/>
              </w:rPr>
              <w:t xml:space="preserve">– </w:t>
            </w:r>
            <w:r w:rsidR="004A3B6A">
              <w:rPr>
                <w:rFonts w:cs="Calibri"/>
                <w:b/>
                <w:bCs/>
                <w:sz w:val="20"/>
                <w:szCs w:val="20"/>
              </w:rPr>
              <w:t>31.07</w:t>
            </w:r>
            <w:r w:rsidR="00DB1423">
              <w:rPr>
                <w:rFonts w:cs="Calibri"/>
                <w:b/>
                <w:bCs/>
                <w:sz w:val="20"/>
                <w:szCs w:val="20"/>
              </w:rPr>
              <w:t>.2024</w:t>
            </w:r>
            <w:r w:rsidR="00967919" w:rsidRPr="00E20662">
              <w:rPr>
                <w:rFonts w:cs="Calibri"/>
                <w:b/>
                <w:bCs/>
                <w:sz w:val="20"/>
                <w:szCs w:val="20"/>
              </w:rPr>
              <w:t xml:space="preserve"> r.</w:t>
            </w:r>
            <w:r w:rsidR="00902FF5" w:rsidRPr="00E20662">
              <w:rPr>
                <w:rFonts w:cs="Calibri"/>
                <w:b/>
                <w:bCs/>
                <w:sz w:val="20"/>
                <w:szCs w:val="20"/>
              </w:rPr>
              <w:t xml:space="preserve"> – 10 %</w:t>
            </w:r>
          </w:p>
        </w:tc>
      </w:tr>
      <w:tr w:rsidR="00E20662" w:rsidRPr="00E20662" w:rsidTr="00D902CA">
        <w:trPr>
          <w:trHeight w:val="567"/>
        </w:trPr>
        <w:tc>
          <w:tcPr>
            <w:tcW w:w="3020" w:type="dxa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Dopuszczenie waloryzacji ceny</w:t>
            </w:r>
            <w:r w:rsidRPr="00E20662">
              <w:rPr>
                <w:rFonts w:ascii="Calibri" w:hAnsi="Calibri" w:cs="Calibri"/>
                <w:sz w:val="19"/>
                <w:szCs w:val="19"/>
              </w:rPr>
              <w:br/>
              <w:t>oraz określenie zasad waloryzacji</w:t>
            </w:r>
          </w:p>
        </w:tc>
        <w:tc>
          <w:tcPr>
            <w:tcW w:w="6756" w:type="dxa"/>
            <w:gridSpan w:val="7"/>
            <w:vAlign w:val="center"/>
          </w:tcPr>
          <w:p w:rsidR="00DB66D5" w:rsidRPr="00E20662" w:rsidRDefault="007A46D9" w:rsidP="007A46D9">
            <w:pPr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-------------------</w:t>
            </w:r>
          </w:p>
        </w:tc>
      </w:tr>
      <w:tr w:rsidR="00E20662" w:rsidRPr="00E20662" w:rsidTr="00D902CA">
        <w:trPr>
          <w:trHeight w:val="607"/>
        </w:trPr>
        <w:tc>
          <w:tcPr>
            <w:tcW w:w="9776" w:type="dxa"/>
            <w:gridSpan w:val="8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bCs/>
                <w:sz w:val="19"/>
                <w:szCs w:val="19"/>
              </w:rPr>
              <w:t>WARUNKI ODSTĄPIENIA OD UMOWY DEWELOPERSKIEJ (</w:t>
            </w:r>
            <w:r w:rsidRPr="00E20662">
              <w:rPr>
                <w:rFonts w:ascii="Calibri" w:hAnsi="Calibri" w:cs="Calibri"/>
                <w:sz w:val="19"/>
                <w:szCs w:val="19"/>
              </w:rPr>
              <w:t>Należy opisać na jakich warunkach można odstąpić od umowy deweloperskiej)</w:t>
            </w:r>
          </w:p>
        </w:tc>
      </w:tr>
      <w:tr w:rsidR="00E20662" w:rsidRPr="00E20662" w:rsidTr="00D902CA">
        <w:trPr>
          <w:trHeight w:val="607"/>
        </w:trPr>
        <w:tc>
          <w:tcPr>
            <w:tcW w:w="9776" w:type="dxa"/>
            <w:gridSpan w:val="8"/>
            <w:vAlign w:val="center"/>
          </w:tcPr>
          <w:p w:rsidR="00FF7827" w:rsidRPr="00E20662" w:rsidRDefault="00FF7827" w:rsidP="00D902CA">
            <w:pPr>
              <w:shd w:val="clear" w:color="auto" w:fill="FFFFFF"/>
              <w:rPr>
                <w:rFonts w:ascii="Calibri" w:hAnsi="Calibri" w:cs="Calibri"/>
                <w:noProof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noProof/>
                <w:sz w:val="19"/>
                <w:szCs w:val="19"/>
              </w:rPr>
              <w:t>Nabywcy</w:t>
            </w:r>
            <w:r w:rsidRPr="00E20662">
              <w:rPr>
                <w:rFonts w:ascii="Calibri" w:hAnsi="Calibri" w:cs="Calibri"/>
                <w:noProof/>
                <w:sz w:val="19"/>
                <w:szCs w:val="19"/>
              </w:rPr>
              <w:t xml:space="preserve"> mają prawo odstąpić od umowy w następujących przypadkach:</w:t>
            </w:r>
          </w:p>
          <w:p w:rsidR="00FF7827" w:rsidRPr="00E20662" w:rsidRDefault="00FF7827" w:rsidP="00D902CA">
            <w:pPr>
              <w:numPr>
                <w:ilvl w:val="0"/>
                <w:numId w:val="2"/>
              </w:numPr>
              <w:tabs>
                <w:tab w:val="right" w:pos="404"/>
                <w:tab w:val="right" w:leader="hyphen" w:pos="9080"/>
              </w:tabs>
              <w:ind w:left="404" w:hanging="283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jeżeli umowa deweloperska nie zawiera elementów, o których mowa w art. 22 ustawy z dnia 16 września</w:t>
            </w:r>
            <w:r w:rsidR="0007072D" w:rsidRPr="00E20662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E20662">
              <w:rPr>
                <w:rFonts w:ascii="Calibri" w:hAnsi="Calibri" w:cs="Calibri"/>
                <w:sz w:val="19"/>
                <w:szCs w:val="19"/>
              </w:rPr>
              <w:t>2011 r. o ochronie praw nabywcy lokalu mieszkalnego lub domu jednorodzinnego (Dz. U. z 2017 r., poz. 1468 ze zm.), zwanej dalej ustawą deweloperską;</w:t>
            </w:r>
          </w:p>
          <w:p w:rsidR="00FF7827" w:rsidRPr="00E20662" w:rsidRDefault="00FF7827" w:rsidP="00D902CA">
            <w:pPr>
              <w:numPr>
                <w:ilvl w:val="0"/>
                <w:numId w:val="2"/>
              </w:numPr>
              <w:tabs>
                <w:tab w:val="right" w:pos="404"/>
                <w:tab w:val="right" w:leader="hyphen" w:pos="9080"/>
              </w:tabs>
              <w:ind w:left="404" w:hanging="283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jeżeli informacje zawarte w umowie deweloperskiej nie są zgodne z informacjami zawartymi w prospekcie informacyjnym lub w załącznikach – za wyjątkiem zmian, o których mowa w art. 22 ust. 2 ustawy deweloperskiej;</w:t>
            </w:r>
          </w:p>
          <w:p w:rsidR="00FF7827" w:rsidRPr="00E20662" w:rsidRDefault="00FF7827" w:rsidP="00D902CA">
            <w:pPr>
              <w:numPr>
                <w:ilvl w:val="0"/>
                <w:numId w:val="2"/>
              </w:numPr>
              <w:tabs>
                <w:tab w:val="right" w:pos="404"/>
                <w:tab w:val="right" w:leader="hyphen" w:pos="9080"/>
              </w:tabs>
              <w:ind w:left="404" w:hanging="283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 xml:space="preserve">jeżeli </w:t>
            </w:r>
            <w:r w:rsidRPr="00E20662">
              <w:rPr>
                <w:rFonts w:ascii="Calibri" w:hAnsi="Calibri" w:cs="Calibri"/>
                <w:b/>
                <w:sz w:val="19"/>
                <w:szCs w:val="19"/>
              </w:rPr>
              <w:t>Deweloper</w:t>
            </w:r>
            <w:r w:rsidRPr="00E20662">
              <w:rPr>
                <w:rFonts w:ascii="Calibri" w:hAnsi="Calibri" w:cs="Calibri"/>
                <w:sz w:val="19"/>
                <w:szCs w:val="19"/>
              </w:rPr>
              <w:t xml:space="preserve"> nie doręczył zgodnie z art. 18 i 19 ustawy deweloperskiej prospektu informacyjnego wraz z załącznikami;</w:t>
            </w:r>
          </w:p>
          <w:p w:rsidR="00FF7827" w:rsidRPr="00E20662" w:rsidRDefault="00FF7827" w:rsidP="00D902CA">
            <w:pPr>
              <w:numPr>
                <w:ilvl w:val="0"/>
                <w:numId w:val="2"/>
              </w:numPr>
              <w:tabs>
                <w:tab w:val="right" w:pos="404"/>
                <w:tab w:val="right" w:leader="hyphen" w:pos="9080"/>
              </w:tabs>
              <w:ind w:left="404" w:hanging="283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jeżeli informacje zawarte w prospekcie informacyjnym lub w załącznikach, na podstawie których zawarto umowę deweloperską, są niezgodne ze stanem faktycznym i prawnym w dniu podpisania umowy deweloperskiej;</w:t>
            </w:r>
          </w:p>
          <w:p w:rsidR="00FF7827" w:rsidRPr="00E20662" w:rsidRDefault="00FF7827" w:rsidP="00D902CA">
            <w:pPr>
              <w:numPr>
                <w:ilvl w:val="0"/>
                <w:numId w:val="2"/>
              </w:numPr>
              <w:tabs>
                <w:tab w:val="right" w:pos="404"/>
                <w:tab w:val="right" w:leader="hyphen" w:pos="9080"/>
              </w:tabs>
              <w:ind w:left="404" w:hanging="283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jeżeli prospekt informacyjny, na podstawie którego zawarto umowę deweloperską, nie zawiera informacji określonych we wzorze prospektu informacyjnego stanowiącego załącznik do ustawy deweloperskiej;</w:t>
            </w:r>
          </w:p>
          <w:p w:rsidR="00FF7827" w:rsidRPr="00E20662" w:rsidRDefault="00FF7827" w:rsidP="00D902CA">
            <w:pPr>
              <w:numPr>
                <w:ilvl w:val="0"/>
                <w:numId w:val="2"/>
              </w:numPr>
              <w:tabs>
                <w:tab w:val="right" w:pos="404"/>
                <w:tab w:val="right" w:leader="hyphen" w:pos="9080"/>
              </w:tabs>
              <w:ind w:left="404" w:hanging="283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w przypadku nie</w:t>
            </w:r>
            <w:r w:rsidR="006B6E89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E20662">
              <w:rPr>
                <w:rFonts w:ascii="Calibri" w:hAnsi="Calibri" w:cs="Calibri"/>
                <w:sz w:val="19"/>
                <w:szCs w:val="19"/>
              </w:rPr>
              <w:t xml:space="preserve">przeniesienia na </w:t>
            </w:r>
            <w:r w:rsidRPr="00E20662">
              <w:rPr>
                <w:rFonts w:ascii="Calibri" w:hAnsi="Calibri" w:cs="Calibri"/>
                <w:b/>
                <w:sz w:val="19"/>
                <w:szCs w:val="19"/>
              </w:rPr>
              <w:t>Nabywcę</w:t>
            </w:r>
            <w:r w:rsidRPr="00E20662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E20662">
              <w:rPr>
                <w:rFonts w:ascii="Calibri" w:hAnsi="Calibri" w:cs="Calibri"/>
                <w:noProof/>
                <w:sz w:val="19"/>
                <w:szCs w:val="19"/>
              </w:rPr>
              <w:t>prawa własności przedmiotowego lokalu mieszkalnego</w:t>
            </w:r>
            <w:r w:rsidRPr="00E20662">
              <w:rPr>
                <w:rFonts w:ascii="Calibri" w:hAnsi="Calibri" w:cs="Calibri"/>
                <w:sz w:val="19"/>
                <w:szCs w:val="19"/>
              </w:rPr>
              <w:t>, w terminie określonym w umowie deweloperskiej;</w:t>
            </w:r>
          </w:p>
          <w:p w:rsidR="00FF7827" w:rsidRPr="00E20662" w:rsidRDefault="00FF7827" w:rsidP="00D902CA">
            <w:pPr>
              <w:numPr>
                <w:ilvl w:val="0"/>
                <w:numId w:val="2"/>
              </w:numPr>
              <w:tabs>
                <w:tab w:val="right" w:pos="404"/>
                <w:tab w:val="right" w:leader="hyphen" w:pos="9080"/>
              </w:tabs>
              <w:ind w:left="404" w:hanging="283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napToGrid w:val="0"/>
                <w:sz w:val="19"/>
                <w:szCs w:val="19"/>
              </w:rPr>
              <w:t xml:space="preserve">w przypadku stwierdzenia zmiany powierzchni po obmiarze powykonawczym o więcej niż </w:t>
            </w:r>
            <w:r w:rsidRPr="00E20662">
              <w:rPr>
                <w:rFonts w:ascii="Calibri" w:hAnsi="Calibri" w:cs="Calibri"/>
                <w:b/>
                <w:sz w:val="19"/>
                <w:szCs w:val="19"/>
              </w:rPr>
              <w:t>1,50 %</w:t>
            </w:r>
            <w:r w:rsidRPr="00E20662">
              <w:rPr>
                <w:rFonts w:ascii="Calibri" w:hAnsi="Calibri" w:cs="Calibri"/>
                <w:sz w:val="19"/>
                <w:szCs w:val="19"/>
              </w:rPr>
              <w:t xml:space="preserve"> (jeden i pięć dziesiątych procenta).</w:t>
            </w:r>
          </w:p>
        </w:tc>
      </w:tr>
      <w:tr w:rsidR="00E20662" w:rsidRPr="00E20662" w:rsidTr="00D902CA">
        <w:trPr>
          <w:trHeight w:val="2586"/>
        </w:trPr>
        <w:tc>
          <w:tcPr>
            <w:tcW w:w="9776" w:type="dxa"/>
            <w:gridSpan w:val="8"/>
          </w:tcPr>
          <w:p w:rsidR="00DB66D5" w:rsidRPr="00E20662" w:rsidRDefault="00DB66D5" w:rsidP="00D902CA">
            <w:pPr>
              <w:tabs>
                <w:tab w:val="right" w:pos="426"/>
                <w:tab w:val="right" w:leader="hyphen" w:pos="9080"/>
              </w:tabs>
              <w:jc w:val="both"/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</w:rPr>
              <w:t>Deweloper</w:t>
            </w:r>
            <w:r w:rsidRPr="00E20662">
              <w:rPr>
                <w:rFonts w:ascii="Calibri" w:hAnsi="Calibri" w:cs="Calibri"/>
                <w:sz w:val="19"/>
                <w:szCs w:val="19"/>
              </w:rPr>
              <w:t xml:space="preserve"> ma prawo odstąpić od umowy deweloperskiej w następujących przypadkach:</w:t>
            </w:r>
          </w:p>
          <w:p w:rsidR="00DB66D5" w:rsidRPr="00E20662" w:rsidRDefault="00DB66D5" w:rsidP="00D902CA">
            <w:pPr>
              <w:numPr>
                <w:ilvl w:val="0"/>
                <w:numId w:val="3"/>
              </w:numPr>
              <w:tabs>
                <w:tab w:val="right" w:pos="404"/>
                <w:tab w:val="right" w:leader="hyphen" w:pos="9080"/>
              </w:tabs>
              <w:ind w:left="404" w:hanging="283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niespełnienia przez Nabywcę świadczenia pieniężnego w terminie lub wysokości określonej w umowie deweloperskiej – pod warunkiem uprzedniego jednokrotnego wezwania Nabywcy w formie pisemnej do uiszczenia zaległych kwot w terminie 30 (trzydziestu) dni od dnia doręczenia wezwania, chyba że niespełnienie przez Nabywcę świadczenia pieniężnego jest spowodowane działaniem siły wyższej;</w:t>
            </w:r>
          </w:p>
          <w:p w:rsidR="00DB66D5" w:rsidRPr="00E20662" w:rsidRDefault="00DB66D5" w:rsidP="00D902CA">
            <w:pPr>
              <w:numPr>
                <w:ilvl w:val="0"/>
                <w:numId w:val="3"/>
              </w:numPr>
              <w:tabs>
                <w:tab w:val="right" w:pos="404"/>
                <w:tab w:val="right" w:leader="hyphen" w:pos="9080"/>
              </w:tabs>
              <w:ind w:left="404" w:hanging="283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niestawienia się Nabywcy do odbioru Lokalu mieszkalnego – pod warunkiem dwukrotnego doręczenia wezwania Nabywcy w formie pisemnej w odstępie co najmniej 60 (sześćdziesięciu) dni, chyba że niestawienie się Nabywcy jest spowodowane działaniem siły wyższej;</w:t>
            </w:r>
          </w:p>
          <w:p w:rsidR="00DB66D5" w:rsidRPr="00E20662" w:rsidRDefault="00DB66D5" w:rsidP="00D902CA">
            <w:pPr>
              <w:numPr>
                <w:ilvl w:val="0"/>
                <w:numId w:val="3"/>
              </w:numPr>
              <w:tabs>
                <w:tab w:val="right" w:pos="404"/>
                <w:tab w:val="right" w:leader="hyphen" w:pos="9080"/>
              </w:tabs>
              <w:ind w:left="404" w:hanging="283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niestawienia się Nabywcy do podpisania aktu notarialnego przenoszącego na niego prawo, o którym mowa w art. 1 ustawy deweloperskiej - pod warunkiem dwukrotnego doręczenia wezwania Nabywcy w formie pisemnej w odstępie co najmniej 60 (sześćdziesięciu) dni, chyba że niestawienie się Nabywcy jest spowodowane działaniem siły wyższej.</w:t>
            </w:r>
          </w:p>
          <w:p w:rsidR="00D44C13" w:rsidRPr="00E20662" w:rsidRDefault="00D44C13" w:rsidP="00D44C13">
            <w:pPr>
              <w:tabs>
                <w:tab w:val="right" w:pos="404"/>
                <w:tab w:val="right" w:leader="hyphen" w:pos="908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20662" w:rsidRPr="00E20662" w:rsidTr="00D44C13">
        <w:trPr>
          <w:trHeight w:val="460"/>
        </w:trPr>
        <w:tc>
          <w:tcPr>
            <w:tcW w:w="9776" w:type="dxa"/>
            <w:gridSpan w:val="8"/>
            <w:vAlign w:val="center"/>
          </w:tcPr>
          <w:p w:rsidR="00DB66D5" w:rsidRPr="00E20662" w:rsidRDefault="00DB66D5" w:rsidP="00D902CA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</w:rPr>
              <w:t>INNE INFORMACJE</w:t>
            </w:r>
          </w:p>
        </w:tc>
      </w:tr>
      <w:tr w:rsidR="00E20662" w:rsidRPr="00E20662" w:rsidTr="00D902CA">
        <w:tc>
          <w:tcPr>
            <w:tcW w:w="9776" w:type="dxa"/>
            <w:gridSpan w:val="8"/>
          </w:tcPr>
          <w:p w:rsidR="00DB66D5" w:rsidRPr="00E20662" w:rsidRDefault="00DB66D5" w:rsidP="00D902CA">
            <w:pPr>
              <w:jc w:val="both"/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Informacja o zgodzie banku finansującego przedsięwzięcie deweloperskie lub jego część, bądź finansującego</w:t>
            </w:r>
            <w:r w:rsidRPr="00E20662">
              <w:rPr>
                <w:rFonts w:ascii="Calibri" w:hAnsi="Calibri" w:cs="Calibri"/>
                <w:sz w:val="19"/>
                <w:szCs w:val="19"/>
              </w:rPr>
              <w:br/>
              <w:t>działalność dewelopera w przypadku zabezpieczenia kredytu na hipotece nieruchomości, na której jest realizowane przedsięwzięcie deweloperskie lub jego część, bądź też finansującego zakup tej nieruchomości lub jej części w przypadku równoczesnego ustanowienia zabezpieczenia hipotecznego — na bezobciążeniowe wyodrębnienie lokalu mieszkalnego i przeniesienie jego własności albo bezobciążeniowe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</w:t>
            </w:r>
            <w:r w:rsidR="00027099" w:rsidRPr="00E20662">
              <w:rPr>
                <w:rFonts w:ascii="Calibri" w:hAnsi="Calibri" w:cs="Calibri"/>
                <w:sz w:val="19"/>
                <w:szCs w:val="19"/>
              </w:rPr>
              <w:t>.</w:t>
            </w:r>
          </w:p>
        </w:tc>
      </w:tr>
      <w:tr w:rsidR="00E20662" w:rsidRPr="00E20662" w:rsidTr="00D902CA">
        <w:tc>
          <w:tcPr>
            <w:tcW w:w="9776" w:type="dxa"/>
            <w:gridSpan w:val="8"/>
          </w:tcPr>
          <w:p w:rsidR="00DB66D5" w:rsidRPr="00E20662" w:rsidRDefault="00DB66D5" w:rsidP="00D902CA">
            <w:pPr>
              <w:ind w:left="28" w:right="57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Informacja o możliwości zapoznania się w lokalu przedsiębiorstwa przez osobę zainteresowaną zawarciem umowy deweloperskiej z:</w:t>
            </w:r>
          </w:p>
          <w:p w:rsidR="00DB66D5" w:rsidRPr="00E20662" w:rsidRDefault="00DB66D5" w:rsidP="00D902CA">
            <w:pPr>
              <w:ind w:left="270" w:right="57" w:hanging="242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1)</w:t>
            </w:r>
            <w:r w:rsidRPr="00E20662">
              <w:rPr>
                <w:rFonts w:ascii="Calibri" w:hAnsi="Calibri" w:cs="Calibri"/>
                <w:sz w:val="19"/>
                <w:szCs w:val="19"/>
              </w:rPr>
              <w:tab/>
              <w:t>aktualnym stanem księgi wieczystej prowadzonej dla nieruchomości;</w:t>
            </w:r>
          </w:p>
          <w:p w:rsidR="00DB66D5" w:rsidRPr="00E20662" w:rsidRDefault="00DB66D5" w:rsidP="00D902CA">
            <w:pPr>
              <w:ind w:left="270" w:right="57" w:hanging="242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2)</w:t>
            </w:r>
            <w:r w:rsidRPr="00E20662">
              <w:rPr>
                <w:rFonts w:ascii="Calibri" w:hAnsi="Calibri" w:cs="Calibri"/>
                <w:sz w:val="19"/>
                <w:szCs w:val="19"/>
              </w:rPr>
              <w:tab/>
              <w:t>kopią aktualnego odpisu z Krajowego Rejestru Sądowego, jeśli podmiot podlega wpisowi do Krajowego Rejestru Sądowego lub aktualnym zaświadczeniem o wpisie do Centralnej Ewidencji i Informacji o Działalności Gospodarczej;</w:t>
            </w:r>
          </w:p>
          <w:p w:rsidR="00DB66D5" w:rsidRPr="00E20662" w:rsidRDefault="00DB66D5" w:rsidP="00D902CA">
            <w:pPr>
              <w:ind w:left="270" w:right="57" w:hanging="242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3)</w:t>
            </w:r>
            <w:r w:rsidRPr="00E20662">
              <w:rPr>
                <w:rFonts w:ascii="Calibri" w:hAnsi="Calibri" w:cs="Calibri"/>
                <w:sz w:val="19"/>
                <w:szCs w:val="19"/>
              </w:rPr>
              <w:tab/>
              <w:t>kopią pozwolenia na budowę;</w:t>
            </w:r>
          </w:p>
          <w:p w:rsidR="00DB66D5" w:rsidRPr="00E20662" w:rsidRDefault="00DB66D5" w:rsidP="00D902CA">
            <w:pPr>
              <w:ind w:left="270" w:right="57" w:hanging="242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4)</w:t>
            </w:r>
            <w:r w:rsidRPr="00E20662">
              <w:rPr>
                <w:rFonts w:ascii="Calibri" w:hAnsi="Calibri" w:cs="Calibri"/>
                <w:sz w:val="19"/>
                <w:szCs w:val="19"/>
              </w:rPr>
              <w:tab/>
              <w:t>sprawozdaniem finansowym dewelopera za ostatnie dwa lata, a w przypadku realizacji inwestycji przez spółkę</w:t>
            </w:r>
            <w:r w:rsidRPr="00E20662">
              <w:rPr>
                <w:rFonts w:ascii="Calibri" w:hAnsi="Calibri" w:cs="Calibri"/>
                <w:sz w:val="19"/>
                <w:szCs w:val="19"/>
              </w:rPr>
              <w:br/>
              <w:t>celową — sprawozdaniem spółki dominującej;</w:t>
            </w:r>
          </w:p>
          <w:p w:rsidR="00DB66D5" w:rsidRPr="00E20662" w:rsidRDefault="003B1070" w:rsidP="00D902CA">
            <w:pPr>
              <w:rPr>
                <w:rFonts w:cs="Calibri"/>
                <w:sz w:val="19"/>
                <w:szCs w:val="19"/>
              </w:rPr>
            </w:pPr>
            <w:r w:rsidRPr="00E20662">
              <w:rPr>
                <w:rFonts w:cs="Calibri"/>
                <w:sz w:val="19"/>
                <w:szCs w:val="19"/>
              </w:rPr>
              <w:t xml:space="preserve">5) </w:t>
            </w:r>
            <w:r w:rsidR="00DB66D5" w:rsidRPr="00E20662">
              <w:rPr>
                <w:rFonts w:cs="Calibri"/>
                <w:sz w:val="19"/>
                <w:szCs w:val="19"/>
              </w:rPr>
              <w:t>projektem architektoniczno-budowlanym:</w:t>
            </w:r>
          </w:p>
          <w:p w:rsidR="00027099" w:rsidRPr="00E20662" w:rsidRDefault="00027099" w:rsidP="00D902CA">
            <w:pPr>
              <w:autoSpaceDE w:val="0"/>
              <w:autoSpaceDN w:val="0"/>
              <w:adjustRightInd w:val="0"/>
              <w:jc w:val="both"/>
              <w:rPr>
                <w:rFonts w:eastAsia="MS Mincho" w:cs="Calibri"/>
                <w:b/>
                <w:bCs/>
                <w:sz w:val="19"/>
                <w:szCs w:val="19"/>
                <w:u w:val="single"/>
                <w:lang w:eastAsia="ja-JP"/>
              </w:rPr>
            </w:pPr>
            <w:r w:rsidRPr="00E20662">
              <w:rPr>
                <w:rFonts w:eastAsia="MS Mincho" w:cs="Calibri"/>
                <w:b/>
                <w:bCs/>
                <w:sz w:val="19"/>
                <w:szCs w:val="19"/>
                <w:u w:val="single"/>
                <w:lang w:eastAsia="ja-JP"/>
              </w:rPr>
              <w:t xml:space="preserve">Osoba zainteresowana </w:t>
            </w:r>
            <w:r w:rsidR="003B1070" w:rsidRPr="00E20662">
              <w:rPr>
                <w:rFonts w:eastAsia="MS Mincho" w:cs="Calibri"/>
                <w:b/>
                <w:bCs/>
                <w:sz w:val="19"/>
                <w:szCs w:val="19"/>
                <w:u w:val="single"/>
                <w:lang w:eastAsia="ja-JP"/>
              </w:rPr>
              <w:t>zawarciem</w:t>
            </w:r>
            <w:r w:rsidRPr="00E20662">
              <w:rPr>
                <w:rFonts w:eastAsia="MS Mincho" w:cs="Calibri"/>
                <w:b/>
                <w:bCs/>
                <w:sz w:val="19"/>
                <w:szCs w:val="19"/>
                <w:u w:val="single"/>
                <w:lang w:eastAsia="ja-JP"/>
              </w:rPr>
              <w:t xml:space="preserve"> umowy deweloperskiej ma możliwość za</w:t>
            </w:r>
            <w:r w:rsidR="003B1070" w:rsidRPr="00E20662">
              <w:rPr>
                <w:rFonts w:eastAsia="MS Mincho" w:cs="Calibri"/>
                <w:b/>
                <w:bCs/>
                <w:sz w:val="19"/>
                <w:szCs w:val="19"/>
                <w:u w:val="single"/>
                <w:lang w:eastAsia="ja-JP"/>
              </w:rPr>
              <w:t>poznania się w Biurze sprzedaży</w:t>
            </w:r>
            <w:r w:rsidRPr="00E20662">
              <w:rPr>
                <w:rFonts w:eastAsia="MS Mincho" w:cs="Calibri"/>
                <w:b/>
                <w:bCs/>
                <w:sz w:val="19"/>
                <w:szCs w:val="19"/>
                <w:u w:val="single"/>
                <w:lang w:eastAsia="ja-JP"/>
              </w:rPr>
              <w:t xml:space="preserve"> Dewelopera z: </w:t>
            </w:r>
          </w:p>
          <w:p w:rsidR="00027099" w:rsidRPr="00E20662" w:rsidRDefault="00027099" w:rsidP="00D902CA">
            <w:pPr>
              <w:ind w:left="270" w:right="57" w:hanging="242"/>
              <w:jc w:val="both"/>
              <w:rPr>
                <w:rFonts w:cs="Calibri"/>
                <w:sz w:val="19"/>
                <w:szCs w:val="19"/>
              </w:rPr>
            </w:pPr>
            <w:r w:rsidRPr="00E20662">
              <w:rPr>
                <w:rFonts w:cs="Calibri"/>
                <w:sz w:val="19"/>
                <w:szCs w:val="19"/>
              </w:rPr>
              <w:t>1)</w:t>
            </w:r>
            <w:r w:rsidRPr="00E20662">
              <w:rPr>
                <w:rFonts w:cs="Calibri"/>
                <w:sz w:val="19"/>
                <w:szCs w:val="19"/>
              </w:rPr>
              <w:tab/>
              <w:t>aktualnym stanem księgi wieczystej prowadzonej dla nieruchomości;</w:t>
            </w:r>
          </w:p>
          <w:p w:rsidR="00027099" w:rsidRPr="00E20662" w:rsidRDefault="00027099" w:rsidP="00D902CA">
            <w:pPr>
              <w:ind w:left="270" w:right="57" w:hanging="242"/>
              <w:jc w:val="both"/>
              <w:rPr>
                <w:rFonts w:cs="Calibri"/>
                <w:sz w:val="19"/>
                <w:szCs w:val="19"/>
              </w:rPr>
            </w:pPr>
            <w:r w:rsidRPr="00E20662">
              <w:rPr>
                <w:rFonts w:cs="Calibri"/>
                <w:sz w:val="19"/>
                <w:szCs w:val="19"/>
              </w:rPr>
              <w:t>2)</w:t>
            </w:r>
            <w:r w:rsidRPr="00E20662">
              <w:rPr>
                <w:rFonts w:cs="Calibri"/>
                <w:sz w:val="19"/>
                <w:szCs w:val="19"/>
              </w:rPr>
              <w:tab/>
              <w:t xml:space="preserve">kopią aktualnego odpisu z Krajowego Rejestru </w:t>
            </w:r>
          </w:p>
          <w:p w:rsidR="00027099" w:rsidRPr="00E20662" w:rsidRDefault="00027099" w:rsidP="00D902CA">
            <w:pPr>
              <w:ind w:left="270" w:right="57" w:hanging="242"/>
              <w:jc w:val="both"/>
              <w:rPr>
                <w:rFonts w:cs="Calibri"/>
                <w:sz w:val="19"/>
                <w:szCs w:val="19"/>
              </w:rPr>
            </w:pPr>
            <w:r w:rsidRPr="00E20662">
              <w:rPr>
                <w:rFonts w:cs="Calibri"/>
                <w:sz w:val="19"/>
                <w:szCs w:val="19"/>
              </w:rPr>
              <w:t>3)</w:t>
            </w:r>
            <w:r w:rsidRPr="00E20662">
              <w:rPr>
                <w:rFonts w:cs="Calibri"/>
                <w:sz w:val="19"/>
                <w:szCs w:val="19"/>
              </w:rPr>
              <w:tab/>
              <w:t>kopią pozwolenia na budowę;</w:t>
            </w:r>
          </w:p>
          <w:p w:rsidR="00027099" w:rsidRPr="00E20662" w:rsidRDefault="003B1070" w:rsidP="00D902CA">
            <w:pPr>
              <w:ind w:left="270" w:right="57" w:hanging="242"/>
              <w:jc w:val="both"/>
              <w:rPr>
                <w:rFonts w:cs="Calibri"/>
                <w:sz w:val="19"/>
                <w:szCs w:val="19"/>
              </w:rPr>
            </w:pPr>
            <w:r w:rsidRPr="00E20662">
              <w:rPr>
                <w:rFonts w:cs="Calibri"/>
                <w:sz w:val="19"/>
                <w:szCs w:val="19"/>
              </w:rPr>
              <w:t xml:space="preserve">4) </w:t>
            </w:r>
            <w:r w:rsidR="00027099" w:rsidRPr="00E20662">
              <w:rPr>
                <w:rFonts w:cs="Calibri"/>
                <w:sz w:val="19"/>
                <w:szCs w:val="19"/>
              </w:rPr>
              <w:t>sprawozdaniem finansowym dewelopera za ostatnie dwa lata, a w przypadku realizacji inwestycji przez spółkę</w:t>
            </w:r>
            <w:r w:rsidR="00027099" w:rsidRPr="00E20662">
              <w:rPr>
                <w:rFonts w:cs="Calibri"/>
                <w:sz w:val="19"/>
                <w:szCs w:val="19"/>
              </w:rPr>
              <w:br/>
              <w:t>celową — sprawozdaniem spółki dominującej;</w:t>
            </w:r>
          </w:p>
          <w:p w:rsidR="00BF0E4B" w:rsidRPr="00E20662" w:rsidRDefault="003B1070" w:rsidP="00D902CA">
            <w:pPr>
              <w:rPr>
                <w:rFonts w:cs="Calibri"/>
                <w:sz w:val="19"/>
                <w:szCs w:val="19"/>
              </w:rPr>
            </w:pPr>
            <w:r w:rsidRPr="00E20662">
              <w:rPr>
                <w:rFonts w:cs="Calibri"/>
                <w:sz w:val="19"/>
                <w:szCs w:val="19"/>
              </w:rPr>
              <w:t xml:space="preserve"> 5</w:t>
            </w:r>
            <w:r w:rsidR="00027099" w:rsidRPr="00E20662">
              <w:rPr>
                <w:rFonts w:cs="Calibri"/>
                <w:sz w:val="19"/>
                <w:szCs w:val="19"/>
              </w:rPr>
              <w:t>) projektem architektoniczno-budowlanym</w:t>
            </w:r>
          </w:p>
          <w:p w:rsidR="00D44C13" w:rsidRPr="00E20662" w:rsidRDefault="00D44C13" w:rsidP="00D902CA">
            <w:pPr>
              <w:rPr>
                <w:rFonts w:cs="Calibri"/>
                <w:sz w:val="19"/>
                <w:szCs w:val="19"/>
              </w:rPr>
            </w:pPr>
          </w:p>
        </w:tc>
      </w:tr>
    </w:tbl>
    <w:tbl>
      <w:tblPr>
        <w:tblW w:w="10148" w:type="dxa"/>
        <w:tblInd w:w="-112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7"/>
        <w:gridCol w:w="12"/>
        <w:gridCol w:w="3219"/>
        <w:gridCol w:w="2076"/>
        <w:gridCol w:w="334"/>
        <w:gridCol w:w="66"/>
        <w:gridCol w:w="3700"/>
        <w:gridCol w:w="379"/>
        <w:gridCol w:w="21"/>
        <w:gridCol w:w="86"/>
        <w:gridCol w:w="148"/>
      </w:tblGrid>
      <w:tr w:rsidR="00E20662" w:rsidRPr="00E20662" w:rsidTr="002E7B01">
        <w:trPr>
          <w:gridAfter w:val="3"/>
          <w:wAfter w:w="255" w:type="dxa"/>
          <w:trHeight w:hRule="exact" w:val="610"/>
        </w:trPr>
        <w:tc>
          <w:tcPr>
            <w:tcW w:w="9893" w:type="dxa"/>
            <w:gridSpan w:val="8"/>
            <w:vAlign w:val="bottom"/>
          </w:tcPr>
          <w:p w:rsidR="007674AE" w:rsidRPr="00E20662" w:rsidRDefault="007674AE" w:rsidP="00D902CA">
            <w:pPr>
              <w:spacing w:after="0" w:line="240" w:lineRule="auto"/>
              <w:ind w:right="-57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bookmarkStart w:id="3" w:name="_Hlk53389256"/>
          </w:p>
        </w:tc>
      </w:tr>
      <w:tr w:rsidR="00E20662" w:rsidRPr="00E20662" w:rsidTr="002E7B01">
        <w:trPr>
          <w:gridAfter w:val="3"/>
          <w:wAfter w:w="255" w:type="dxa"/>
          <w:trHeight w:hRule="exact" w:val="80"/>
        </w:trPr>
        <w:tc>
          <w:tcPr>
            <w:tcW w:w="9893" w:type="dxa"/>
            <w:gridSpan w:val="8"/>
            <w:vAlign w:val="bottom"/>
          </w:tcPr>
          <w:p w:rsidR="007674AE" w:rsidRPr="00E20662" w:rsidRDefault="007674AE" w:rsidP="00D902CA">
            <w:pPr>
              <w:spacing w:after="0" w:line="240" w:lineRule="auto"/>
              <w:ind w:right="-57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</w:tr>
      <w:bookmarkEnd w:id="3"/>
      <w:tr w:rsidR="00E20662" w:rsidRPr="00E20662" w:rsidTr="002E7B01">
        <w:trPr>
          <w:gridBefore w:val="1"/>
          <w:gridAfter w:val="1"/>
          <w:wBefore w:w="107" w:type="dxa"/>
          <w:wAfter w:w="148" w:type="dxa"/>
          <w:trHeight w:hRule="exact" w:val="610"/>
        </w:trPr>
        <w:tc>
          <w:tcPr>
            <w:tcW w:w="9893" w:type="dxa"/>
            <w:gridSpan w:val="9"/>
            <w:vAlign w:val="bottom"/>
          </w:tcPr>
          <w:p w:rsidR="002E7B01" w:rsidRPr="00E20662" w:rsidRDefault="002E7B01" w:rsidP="002E7B01">
            <w:pPr>
              <w:spacing w:after="0" w:line="240" w:lineRule="auto"/>
              <w:ind w:right="-57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bCs/>
                <w:sz w:val="19"/>
                <w:szCs w:val="19"/>
              </w:rPr>
              <w:t>CZĘŚĆ INDYWIDUALNA</w:t>
            </w:r>
          </w:p>
        </w:tc>
      </w:tr>
      <w:tr w:rsidR="00E20662" w:rsidRPr="00E20662" w:rsidTr="002E7B01">
        <w:trPr>
          <w:gridBefore w:val="1"/>
          <w:gridAfter w:val="1"/>
          <w:wBefore w:w="107" w:type="dxa"/>
          <w:wAfter w:w="148" w:type="dxa"/>
          <w:trHeight w:hRule="exact" w:val="80"/>
        </w:trPr>
        <w:tc>
          <w:tcPr>
            <w:tcW w:w="9893" w:type="dxa"/>
            <w:gridSpan w:val="9"/>
            <w:vAlign w:val="bottom"/>
          </w:tcPr>
          <w:p w:rsidR="002E7B01" w:rsidRPr="00E20662" w:rsidRDefault="002E7B01" w:rsidP="002E7B01">
            <w:pPr>
              <w:spacing w:after="0" w:line="240" w:lineRule="auto"/>
              <w:ind w:right="-57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</w:tr>
      <w:tr w:rsidR="00E20662" w:rsidRPr="00E20662" w:rsidTr="002E7B01">
        <w:tblPrEx>
          <w:tblCellMar>
            <w:left w:w="40" w:type="dxa"/>
            <w:right w:w="40" w:type="dxa"/>
          </w:tblCellMar>
        </w:tblPrEx>
        <w:trPr>
          <w:gridBefore w:val="2"/>
          <w:gridAfter w:val="1"/>
          <w:wBefore w:w="119" w:type="dxa"/>
          <w:wAfter w:w="148" w:type="dxa"/>
          <w:trHeight w:val="504"/>
        </w:trPr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B01" w:rsidRPr="00E20662" w:rsidRDefault="002E7B01" w:rsidP="002E7B01">
            <w:pPr>
              <w:spacing w:after="0" w:line="240" w:lineRule="auto"/>
              <w:ind w:right="57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Cena m</w:t>
            </w:r>
            <w:r w:rsidRPr="00E20662">
              <w:rPr>
                <w:rFonts w:ascii="Calibri" w:hAnsi="Calibri" w:cs="Calibri"/>
                <w:sz w:val="19"/>
                <w:szCs w:val="19"/>
                <w:vertAlign w:val="superscript"/>
              </w:rPr>
              <w:t>2</w:t>
            </w:r>
            <w:r w:rsidRPr="00E20662">
              <w:rPr>
                <w:rFonts w:ascii="Calibri" w:hAnsi="Calibri" w:cs="Calibri"/>
                <w:sz w:val="19"/>
                <w:szCs w:val="19"/>
              </w:rPr>
              <w:t xml:space="preserve"> powierzchni lokalu mieszkalnego </w:t>
            </w:r>
          </w:p>
        </w:tc>
        <w:tc>
          <w:tcPr>
            <w:tcW w:w="66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B01" w:rsidRPr="00E20662" w:rsidRDefault="002E7B01" w:rsidP="00A30A76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="00652446">
              <w:rPr>
                <w:rFonts w:ascii="Calibri" w:hAnsi="Calibri" w:cs="Calibri"/>
                <w:b/>
                <w:sz w:val="19"/>
                <w:szCs w:val="19"/>
              </w:rPr>
              <w:t>……………………….</w:t>
            </w:r>
            <w:r w:rsidRPr="00E20662">
              <w:rPr>
                <w:rFonts w:ascii="Calibri" w:hAnsi="Calibri" w:cs="Calibri"/>
                <w:b/>
                <w:sz w:val="19"/>
                <w:szCs w:val="19"/>
              </w:rPr>
              <w:t xml:space="preserve"> PLN </w:t>
            </w:r>
            <w:r w:rsidRPr="00E20662">
              <w:rPr>
                <w:rFonts w:ascii="Calibri" w:hAnsi="Calibri" w:cs="Calibri"/>
                <w:sz w:val="19"/>
                <w:szCs w:val="19"/>
              </w:rPr>
              <w:t>brutto</w:t>
            </w:r>
          </w:p>
        </w:tc>
      </w:tr>
      <w:tr w:rsidR="00E20662" w:rsidRPr="00E20662" w:rsidTr="002E7B01">
        <w:tblPrEx>
          <w:tblCellMar>
            <w:left w:w="40" w:type="dxa"/>
            <w:right w:w="40" w:type="dxa"/>
          </w:tblCellMar>
        </w:tblPrEx>
        <w:trPr>
          <w:gridBefore w:val="2"/>
          <w:gridAfter w:val="1"/>
          <w:wBefore w:w="119" w:type="dxa"/>
          <w:wAfter w:w="148" w:type="dxa"/>
          <w:trHeight w:val="490"/>
        </w:trPr>
        <w:tc>
          <w:tcPr>
            <w:tcW w:w="321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B01" w:rsidRPr="00E20662" w:rsidRDefault="002E7B01" w:rsidP="002E7B01">
            <w:pPr>
              <w:spacing w:after="0" w:line="240" w:lineRule="auto"/>
              <w:ind w:right="57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Określenie położenia oraz istotnych cech domu jednorodzinnego będącego przedmiotem umowy deweloperskiej lub budynku w którym ma znajdować się lokal mieszkalny będący przedmiotem umowy deweloperskiej</w:t>
            </w:r>
          </w:p>
          <w:p w:rsidR="002E7B01" w:rsidRPr="00E20662" w:rsidRDefault="002E7B01" w:rsidP="002E7B01">
            <w:pPr>
              <w:spacing w:after="0" w:line="240" w:lineRule="auto"/>
              <w:ind w:right="57"/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B01" w:rsidRPr="00E20662" w:rsidRDefault="002E7B01" w:rsidP="002E7B01">
            <w:pPr>
              <w:shd w:val="clear" w:color="auto" w:fill="FFFFFF"/>
              <w:spacing w:beforeLines="40" w:before="96" w:after="0" w:line="240" w:lineRule="auto"/>
              <w:ind w:left="28" w:right="57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liczba kondygnacji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7B01" w:rsidRPr="00E20662" w:rsidRDefault="00492B98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5</w:t>
            </w:r>
            <w:r w:rsidR="002E7B01" w:rsidRPr="00E20662">
              <w:rPr>
                <w:rFonts w:ascii="Calibri" w:hAnsi="Calibri" w:cs="Calibri"/>
                <w:sz w:val="19"/>
                <w:szCs w:val="19"/>
              </w:rPr>
              <w:t xml:space="preserve"> – nadziemne, 1 – podziemna</w:t>
            </w:r>
          </w:p>
        </w:tc>
      </w:tr>
      <w:tr w:rsidR="00E20662" w:rsidRPr="00E20662" w:rsidTr="002E7B01">
        <w:tblPrEx>
          <w:tblCellMar>
            <w:left w:w="40" w:type="dxa"/>
            <w:right w:w="40" w:type="dxa"/>
          </w:tblCellMar>
        </w:tblPrEx>
        <w:trPr>
          <w:gridBefore w:val="2"/>
          <w:gridAfter w:val="1"/>
          <w:wBefore w:w="119" w:type="dxa"/>
          <w:wAfter w:w="148" w:type="dxa"/>
          <w:trHeight w:val="490"/>
        </w:trPr>
        <w:tc>
          <w:tcPr>
            <w:tcW w:w="321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B01" w:rsidRPr="00E20662" w:rsidRDefault="002E7B01" w:rsidP="002E7B01">
            <w:pPr>
              <w:spacing w:after="0" w:line="240" w:lineRule="auto"/>
              <w:ind w:right="57"/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B01" w:rsidRPr="00E20662" w:rsidRDefault="002E7B01" w:rsidP="002E7B01">
            <w:pPr>
              <w:shd w:val="clear" w:color="auto" w:fill="FFFFFF"/>
              <w:spacing w:beforeLines="40" w:before="96" w:after="0" w:line="240" w:lineRule="auto"/>
              <w:ind w:left="28" w:right="57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liczba lokali w budynku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7B01" w:rsidRPr="00E20662" w:rsidRDefault="00916B1B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bCs/>
                <w:sz w:val="19"/>
                <w:szCs w:val="19"/>
              </w:rPr>
              <w:t>15</w:t>
            </w:r>
            <w:r w:rsidR="002E7B01" w:rsidRPr="00E20662">
              <w:rPr>
                <w:rFonts w:ascii="Calibri" w:hAnsi="Calibri" w:cs="Calibri"/>
                <w:sz w:val="19"/>
                <w:szCs w:val="19"/>
              </w:rPr>
              <w:t xml:space="preserve"> lokali mieszkalnych</w:t>
            </w:r>
          </w:p>
          <w:p w:rsidR="002E7B01" w:rsidRPr="00E20662" w:rsidRDefault="00916B1B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bCs/>
                <w:sz w:val="19"/>
                <w:szCs w:val="19"/>
              </w:rPr>
              <w:t>1</w:t>
            </w:r>
            <w:r w:rsidR="002E7B01" w:rsidRPr="00E20662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  <w:r w:rsidRPr="00E20662">
              <w:rPr>
                <w:rFonts w:ascii="Calibri" w:hAnsi="Calibri" w:cs="Calibri"/>
                <w:sz w:val="19"/>
                <w:szCs w:val="19"/>
              </w:rPr>
              <w:t>lokal usługowy</w:t>
            </w:r>
          </w:p>
        </w:tc>
      </w:tr>
      <w:tr w:rsidR="00E20662" w:rsidRPr="00E20662" w:rsidTr="002E7B01">
        <w:tblPrEx>
          <w:tblCellMar>
            <w:left w:w="40" w:type="dxa"/>
            <w:right w:w="40" w:type="dxa"/>
          </w:tblCellMar>
        </w:tblPrEx>
        <w:trPr>
          <w:gridBefore w:val="2"/>
          <w:gridAfter w:val="1"/>
          <w:wBefore w:w="119" w:type="dxa"/>
          <w:wAfter w:w="148" w:type="dxa"/>
          <w:trHeight w:val="490"/>
        </w:trPr>
        <w:tc>
          <w:tcPr>
            <w:tcW w:w="321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B01" w:rsidRPr="00E20662" w:rsidRDefault="002E7B01" w:rsidP="002E7B01">
            <w:pPr>
              <w:spacing w:after="0" w:line="240" w:lineRule="auto"/>
              <w:ind w:right="57"/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B01" w:rsidRPr="00E20662" w:rsidRDefault="002E7B01" w:rsidP="002E7B01">
            <w:pPr>
              <w:shd w:val="clear" w:color="auto" w:fill="FFFFFF"/>
              <w:spacing w:beforeLines="40" w:before="96" w:after="0" w:line="240" w:lineRule="auto"/>
              <w:ind w:left="28" w:right="57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 xml:space="preserve">liczba miejsc garażowych i postojowych </w:t>
            </w:r>
            <w:r w:rsidRPr="00E20662">
              <w:rPr>
                <w:rFonts w:ascii="Calibri" w:hAnsi="Calibri" w:cs="Calibri"/>
                <w:spacing w:val="-200"/>
                <w:sz w:val="19"/>
                <w:szCs w:val="19"/>
                <w:vertAlign w:val="subscript"/>
              </w:rPr>
              <w:t></w:t>
            </w:r>
            <w:r w:rsidRPr="00E20662">
              <w:rPr>
                <w:rFonts w:ascii="Calibri" w:hAnsi="Calibri" w:cs="Calibri"/>
                <w:spacing w:val="-200"/>
                <w:sz w:val="19"/>
                <w:szCs w:val="19"/>
                <w:vertAlign w:val="subscript"/>
              </w:rPr>
              <w:t></w:t>
            </w:r>
            <w:r w:rsidRPr="00E20662">
              <w:rPr>
                <w:rFonts w:ascii="Calibri" w:hAnsi="Calibri" w:cs="Calibri"/>
                <w:spacing w:val="-200"/>
                <w:sz w:val="19"/>
                <w:szCs w:val="19"/>
                <w:vertAlign w:val="subscript"/>
              </w:rPr>
              <w:t></w:t>
            </w:r>
            <w:r w:rsidRPr="00E20662">
              <w:rPr>
                <w:rFonts w:ascii="Calibri" w:hAnsi="Calibri" w:cs="Calibri"/>
                <w:spacing w:val="-200"/>
                <w:sz w:val="19"/>
                <w:szCs w:val="19"/>
                <w:vertAlign w:val="subscript"/>
              </w:rPr>
              <w:t></w:t>
            </w:r>
            <w:r w:rsidRPr="00E20662">
              <w:rPr>
                <w:rFonts w:ascii="Calibri" w:hAnsi="Calibri" w:cs="Calibri"/>
                <w:spacing w:val="-200"/>
                <w:sz w:val="19"/>
                <w:szCs w:val="19"/>
                <w:vertAlign w:val="subscript"/>
              </w:rPr>
              <w:t></w:t>
            </w:r>
            <w:r w:rsidRPr="00E20662">
              <w:rPr>
                <w:rFonts w:ascii="Calibri" w:hAnsi="Calibri" w:cs="Calibri"/>
                <w:spacing w:val="-200"/>
                <w:sz w:val="19"/>
                <w:szCs w:val="19"/>
                <w:vertAlign w:val="subscript"/>
              </w:rPr>
              <w:t></w:t>
            </w:r>
            <w:r w:rsidRPr="00E20662">
              <w:rPr>
                <w:rFonts w:ascii="Calibri" w:hAnsi="Calibri" w:cs="Calibri"/>
                <w:spacing w:val="-200"/>
                <w:sz w:val="19"/>
                <w:szCs w:val="19"/>
                <w:vertAlign w:val="subscript"/>
              </w:rPr>
              <w:t></w:t>
            </w:r>
            <w:r w:rsidRPr="00E20662">
              <w:rPr>
                <w:rFonts w:ascii="Calibri" w:hAnsi="Calibri" w:cs="Calibri"/>
                <w:spacing w:val="-200"/>
                <w:sz w:val="19"/>
                <w:szCs w:val="19"/>
                <w:vertAlign w:val="subscript"/>
              </w:rPr>
              <w:t></w:t>
            </w:r>
            <w:r w:rsidRPr="00E20662">
              <w:rPr>
                <w:rFonts w:ascii="Calibri" w:hAnsi="Calibri" w:cs="Calibri"/>
                <w:spacing w:val="-200"/>
                <w:sz w:val="19"/>
                <w:szCs w:val="19"/>
                <w:vertAlign w:val="subscript"/>
              </w:rPr>
              <w:t></w:t>
            </w:r>
            <w:r w:rsidRPr="00E20662">
              <w:rPr>
                <w:rFonts w:ascii="Calibri" w:hAnsi="Calibri" w:cs="Calibri"/>
                <w:spacing w:val="-200"/>
                <w:sz w:val="19"/>
                <w:szCs w:val="19"/>
                <w:vertAlign w:val="subscript"/>
              </w:rPr>
              <w:t></w:t>
            </w:r>
            <w:r w:rsidRPr="00E20662">
              <w:rPr>
                <w:rFonts w:ascii="Calibri" w:hAnsi="Calibri" w:cs="Calibri"/>
                <w:spacing w:val="-200"/>
                <w:sz w:val="19"/>
                <w:szCs w:val="19"/>
                <w:vertAlign w:val="subscript"/>
              </w:rPr>
              <w:t></w:t>
            </w:r>
            <w:r w:rsidRPr="00E20662">
              <w:rPr>
                <w:rFonts w:ascii="Calibri" w:hAnsi="Calibri" w:cs="Calibri"/>
                <w:spacing w:val="-200"/>
                <w:sz w:val="19"/>
                <w:szCs w:val="19"/>
                <w:vertAlign w:val="subscript"/>
              </w:rPr>
              <w:t></w:t>
            </w:r>
            <w:r w:rsidRPr="00E20662">
              <w:rPr>
                <w:rFonts w:ascii="Calibri" w:hAnsi="Calibri" w:cs="Calibri"/>
                <w:spacing w:val="-200"/>
                <w:sz w:val="19"/>
                <w:szCs w:val="19"/>
                <w:vertAlign w:val="subscript"/>
              </w:rPr>
              <w:t></w:t>
            </w:r>
            <w:r w:rsidRPr="00E20662">
              <w:rPr>
                <w:rFonts w:ascii="Calibri" w:hAnsi="Calibri" w:cs="Calibri"/>
                <w:spacing w:val="-200"/>
                <w:sz w:val="19"/>
                <w:szCs w:val="19"/>
                <w:vertAlign w:val="subscript"/>
              </w:rPr>
              <w:t>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7B01" w:rsidRPr="00E20662" w:rsidRDefault="00D56F86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17</w:t>
            </w:r>
            <w:r w:rsidR="002E7B01" w:rsidRPr="00E20662">
              <w:rPr>
                <w:rFonts w:ascii="Calibri" w:hAnsi="Calibri" w:cs="Calibri"/>
                <w:sz w:val="19"/>
                <w:szCs w:val="19"/>
              </w:rPr>
              <w:t xml:space="preserve"> szt. – hala garażowa</w:t>
            </w:r>
          </w:p>
          <w:p w:rsidR="002E7B01" w:rsidRPr="00E20662" w:rsidRDefault="00916B1B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2</w:t>
            </w:r>
            <w:r w:rsidR="002E7B01" w:rsidRPr="00E20662">
              <w:rPr>
                <w:rFonts w:ascii="Calibri" w:hAnsi="Calibri" w:cs="Calibri"/>
                <w:sz w:val="19"/>
                <w:szCs w:val="19"/>
              </w:rPr>
              <w:t xml:space="preserve"> szt. – zewnętrznych miejsc postojowych</w:t>
            </w:r>
          </w:p>
        </w:tc>
      </w:tr>
      <w:tr w:rsidR="00E20662" w:rsidRPr="00E20662" w:rsidTr="002E7B01">
        <w:tblPrEx>
          <w:tblCellMar>
            <w:left w:w="40" w:type="dxa"/>
            <w:right w:w="40" w:type="dxa"/>
          </w:tblCellMar>
        </w:tblPrEx>
        <w:trPr>
          <w:gridBefore w:val="2"/>
          <w:gridAfter w:val="1"/>
          <w:wBefore w:w="119" w:type="dxa"/>
          <w:wAfter w:w="148" w:type="dxa"/>
          <w:trHeight w:val="490"/>
        </w:trPr>
        <w:tc>
          <w:tcPr>
            <w:tcW w:w="321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B01" w:rsidRPr="00E20662" w:rsidRDefault="002E7B01" w:rsidP="002E7B01">
            <w:pPr>
              <w:spacing w:after="0" w:line="240" w:lineRule="auto"/>
              <w:ind w:right="57"/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B01" w:rsidRPr="00E20662" w:rsidRDefault="002E7B01" w:rsidP="002E7B01">
            <w:pPr>
              <w:shd w:val="clear" w:color="auto" w:fill="FFFFFF"/>
              <w:spacing w:beforeLines="40" w:before="96" w:after="0" w:line="240" w:lineRule="auto"/>
              <w:ind w:right="57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dostępne media w budynku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7B01" w:rsidRPr="00E20662" w:rsidRDefault="002E7B01" w:rsidP="002E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i/>
                <w:sz w:val="19"/>
                <w:szCs w:val="19"/>
                <w:lang w:eastAsia="pl-PL"/>
              </w:rPr>
              <w:t>1. Instalacja elektryczna:</w:t>
            </w:r>
          </w:p>
          <w:p w:rsidR="002E7B01" w:rsidRPr="00E20662" w:rsidRDefault="002E7B01" w:rsidP="002E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- instalacja oświetleniowa (bez opraw),</w:t>
            </w:r>
          </w:p>
          <w:p w:rsidR="002E7B01" w:rsidRPr="00E20662" w:rsidRDefault="002E7B01" w:rsidP="002E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- instalacja gniazd wtykowych (bez opraw),</w:t>
            </w:r>
          </w:p>
          <w:p w:rsidR="002E7B01" w:rsidRPr="00E20662" w:rsidRDefault="002E7B01" w:rsidP="002E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- instalacja 3-fazowa do kuchenek elektrycznych</w:t>
            </w:r>
            <w:r w:rsidR="00A72C54">
              <w:rPr>
                <w:rFonts w:ascii="Calibri" w:hAnsi="Calibri" w:cs="Calibri"/>
                <w:sz w:val="19"/>
                <w:szCs w:val="19"/>
                <w:lang w:eastAsia="pl-PL"/>
              </w:rPr>
              <w:t>.</w:t>
            </w:r>
          </w:p>
          <w:p w:rsidR="002E7B01" w:rsidRPr="00E20662" w:rsidRDefault="002E7B01" w:rsidP="002E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i/>
                <w:sz w:val="19"/>
                <w:szCs w:val="19"/>
                <w:lang w:eastAsia="pl-PL"/>
              </w:rPr>
              <w:t>2. Instalacja telefoniczna/teletechniczna</w:t>
            </w: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 </w:t>
            </w:r>
            <w:r w:rsidRPr="00E20662">
              <w:rPr>
                <w:rFonts w:ascii="Calibri" w:hAnsi="Calibri" w:cs="Calibri"/>
                <w:i/>
                <w:sz w:val="19"/>
                <w:szCs w:val="19"/>
                <w:lang w:eastAsia="pl-PL"/>
              </w:rPr>
              <w:t>wewnętrzna</w:t>
            </w:r>
          </w:p>
          <w:p w:rsidR="002E7B01" w:rsidRPr="00E20662" w:rsidRDefault="002E7B01" w:rsidP="002E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i/>
                <w:sz w:val="19"/>
                <w:szCs w:val="19"/>
                <w:lang w:eastAsia="pl-PL"/>
              </w:rPr>
              <w:t>3.Instalacja domofonowa</w:t>
            </w: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 (przystosowana do video domofonu),</w:t>
            </w:r>
          </w:p>
          <w:p w:rsidR="002E7B01" w:rsidRPr="00E20662" w:rsidRDefault="002E7B01" w:rsidP="002E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i/>
                <w:iCs/>
                <w:sz w:val="19"/>
                <w:szCs w:val="19"/>
                <w:lang w:eastAsia="pl-PL"/>
              </w:rPr>
              <w:t>4. Instalacja wod. – kan.</w:t>
            </w:r>
          </w:p>
          <w:p w:rsidR="002E7B01" w:rsidRPr="00E20662" w:rsidRDefault="003144BC" w:rsidP="002E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i/>
                <w:iCs/>
                <w:sz w:val="19"/>
                <w:szCs w:val="19"/>
                <w:lang w:eastAsia="pl-PL"/>
              </w:rPr>
              <w:t>5</w:t>
            </w:r>
            <w:r w:rsidR="002E7B01" w:rsidRPr="00E20662">
              <w:rPr>
                <w:rFonts w:ascii="Calibri" w:hAnsi="Calibri" w:cs="Calibri"/>
                <w:i/>
                <w:iCs/>
                <w:sz w:val="19"/>
                <w:szCs w:val="19"/>
                <w:lang w:eastAsia="pl-PL"/>
              </w:rPr>
              <w:t>. Instalacja c.o.</w:t>
            </w:r>
            <w:r w:rsidR="00B75FE5" w:rsidRPr="00E20662">
              <w:rPr>
                <w:rFonts w:ascii="Calibri" w:hAnsi="Calibri" w:cs="Calibri"/>
                <w:i/>
                <w:iCs/>
                <w:sz w:val="19"/>
                <w:szCs w:val="19"/>
                <w:lang w:eastAsia="pl-PL"/>
              </w:rPr>
              <w:t xml:space="preserve"> </w:t>
            </w:r>
            <w:r w:rsidR="00D56F86" w:rsidRPr="00E20662">
              <w:rPr>
                <w:rFonts w:ascii="Calibri" w:hAnsi="Calibri" w:cs="Calibri"/>
                <w:i/>
                <w:iCs/>
                <w:sz w:val="19"/>
                <w:szCs w:val="19"/>
                <w:lang w:eastAsia="pl-PL"/>
              </w:rPr>
              <w:t xml:space="preserve">- </w:t>
            </w:r>
            <w:r w:rsidR="00B75FE5" w:rsidRPr="00E20662">
              <w:rPr>
                <w:rFonts w:ascii="Calibri" w:hAnsi="Calibri" w:cs="Calibri"/>
                <w:i/>
                <w:iCs/>
                <w:sz w:val="19"/>
                <w:szCs w:val="19"/>
                <w:lang w:eastAsia="pl-PL"/>
              </w:rPr>
              <w:t xml:space="preserve">gazowa </w:t>
            </w:r>
            <w:r w:rsidR="002E7B01"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(grzejniki stalowe, płytowe z zaworami termoregulacyjnymi)</w:t>
            </w:r>
            <w:r w:rsidR="00D56F86"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; piece gazowe zamontowane w mieszkaniach.</w:t>
            </w:r>
          </w:p>
          <w:p w:rsidR="002E7B01" w:rsidRPr="00E20662" w:rsidRDefault="003144BC" w:rsidP="00206A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i/>
                <w:iCs/>
                <w:sz w:val="19"/>
                <w:szCs w:val="19"/>
                <w:lang w:eastAsia="pl-PL"/>
              </w:rPr>
              <w:t>6</w:t>
            </w:r>
            <w:r w:rsidR="002E7B01" w:rsidRPr="00E20662">
              <w:rPr>
                <w:rFonts w:ascii="Calibri" w:hAnsi="Calibri" w:cs="Calibri"/>
                <w:i/>
                <w:iCs/>
                <w:sz w:val="19"/>
                <w:szCs w:val="19"/>
                <w:lang w:eastAsia="pl-PL"/>
              </w:rPr>
              <w:t>. Instalacja wentylacji</w:t>
            </w:r>
            <w:r w:rsidR="00206A44">
              <w:rPr>
                <w:rFonts w:ascii="Calibri" w:hAnsi="Calibri" w:cs="Calibri"/>
                <w:sz w:val="19"/>
                <w:szCs w:val="19"/>
                <w:lang w:eastAsia="pl-PL"/>
              </w:rPr>
              <w:t>.</w:t>
            </w:r>
          </w:p>
        </w:tc>
      </w:tr>
      <w:tr w:rsidR="00E20662" w:rsidRPr="00E20662" w:rsidTr="002E7B01">
        <w:tblPrEx>
          <w:tblCellMar>
            <w:left w:w="40" w:type="dxa"/>
            <w:right w:w="40" w:type="dxa"/>
          </w:tblCellMar>
        </w:tblPrEx>
        <w:trPr>
          <w:gridBefore w:val="2"/>
          <w:gridAfter w:val="1"/>
          <w:wBefore w:w="119" w:type="dxa"/>
          <w:wAfter w:w="148" w:type="dxa"/>
          <w:trHeight w:val="490"/>
        </w:trPr>
        <w:tc>
          <w:tcPr>
            <w:tcW w:w="321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B01" w:rsidRPr="00E20662" w:rsidRDefault="002E7B01" w:rsidP="002E7B01">
            <w:pPr>
              <w:spacing w:after="0" w:line="240" w:lineRule="auto"/>
              <w:ind w:right="57"/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B01" w:rsidRPr="00E20662" w:rsidRDefault="002E7B01" w:rsidP="002E7B01">
            <w:pPr>
              <w:shd w:val="clear" w:color="auto" w:fill="FFFFFF"/>
              <w:spacing w:beforeLines="40" w:before="96" w:after="0" w:line="240" w:lineRule="auto"/>
              <w:ind w:left="28" w:right="57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dostęp do drogi publicznej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7B01" w:rsidRPr="00E20662" w:rsidRDefault="002E7B01" w:rsidP="002E7B01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Tak</w:t>
            </w:r>
          </w:p>
        </w:tc>
      </w:tr>
      <w:tr w:rsidR="00E20662" w:rsidRPr="00E20662" w:rsidTr="002E7B01">
        <w:tblPrEx>
          <w:tblCellMar>
            <w:left w:w="40" w:type="dxa"/>
            <w:right w:w="40" w:type="dxa"/>
          </w:tblCellMar>
        </w:tblPrEx>
        <w:trPr>
          <w:gridBefore w:val="2"/>
          <w:gridAfter w:val="1"/>
          <w:wBefore w:w="119" w:type="dxa"/>
          <w:wAfter w:w="148" w:type="dxa"/>
          <w:trHeight w:val="490"/>
        </w:trPr>
        <w:tc>
          <w:tcPr>
            <w:tcW w:w="321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B01" w:rsidRPr="00E20662" w:rsidRDefault="002E7B01" w:rsidP="002E7B01">
            <w:pPr>
              <w:spacing w:after="0" w:line="240" w:lineRule="auto"/>
              <w:ind w:right="57"/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B01" w:rsidRPr="00E20662" w:rsidRDefault="002E7B01" w:rsidP="002E7B01">
            <w:pPr>
              <w:shd w:val="clear" w:color="auto" w:fill="FFFFFF"/>
              <w:spacing w:beforeLines="40" w:before="96" w:after="0" w:line="240" w:lineRule="auto"/>
              <w:ind w:left="28" w:right="57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Technologia wykonania</w:t>
            </w:r>
          </w:p>
          <w:p w:rsidR="002E7B01" w:rsidRPr="00E20662" w:rsidRDefault="002E7B01" w:rsidP="002E7B01">
            <w:pPr>
              <w:shd w:val="clear" w:color="auto" w:fill="FFFFFF"/>
              <w:spacing w:beforeLines="40" w:before="96" w:after="0" w:line="240" w:lineRule="auto"/>
              <w:ind w:right="57"/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26E4" w:rsidRPr="00E20662" w:rsidRDefault="002E7B01" w:rsidP="004626E4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</w:rPr>
              <w:t>1.</w:t>
            </w:r>
            <w:r w:rsidR="008975F2" w:rsidRPr="00E20662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="004626E4" w:rsidRPr="00E20662">
              <w:rPr>
                <w:rFonts w:ascii="Calibri" w:hAnsi="Calibri" w:cs="Calibri"/>
                <w:b/>
                <w:sz w:val="19"/>
                <w:szCs w:val="19"/>
              </w:rPr>
              <w:t>Konstrukcja</w:t>
            </w:r>
            <w:r w:rsidR="004626E4" w:rsidRPr="00E20662">
              <w:rPr>
                <w:rFonts w:ascii="Calibri" w:hAnsi="Calibri" w:cs="Calibri"/>
                <w:sz w:val="19"/>
                <w:szCs w:val="19"/>
              </w:rPr>
              <w:t xml:space="preserve"> – </w:t>
            </w:r>
            <w:r w:rsidR="00B205C9" w:rsidRPr="00E20662">
              <w:rPr>
                <w:rFonts w:ascii="Calibri" w:hAnsi="Calibri" w:cs="Calibri"/>
                <w:sz w:val="19"/>
                <w:szCs w:val="19"/>
              </w:rPr>
              <w:t>tradycyjna murowana</w:t>
            </w:r>
            <w:r w:rsidR="004626E4" w:rsidRPr="00E20662">
              <w:rPr>
                <w:rFonts w:ascii="Calibri" w:hAnsi="Calibri" w:cs="Calibri"/>
                <w:sz w:val="19"/>
                <w:szCs w:val="19"/>
              </w:rPr>
              <w:t xml:space="preserve">, stropy monolityczne </w:t>
            </w:r>
          </w:p>
          <w:p w:rsidR="004626E4" w:rsidRPr="00E20662" w:rsidRDefault="004626E4" w:rsidP="004626E4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</w:rPr>
              <w:t xml:space="preserve">2. </w:t>
            </w:r>
            <w:r w:rsidRPr="00E20662">
              <w:rPr>
                <w:rFonts w:ascii="Calibri" w:hAnsi="Calibri" w:cs="Calibri"/>
                <w:b/>
                <w:bCs/>
                <w:sz w:val="19"/>
                <w:szCs w:val="19"/>
                <w:lang w:eastAsia="pl-PL"/>
              </w:rPr>
              <w:t xml:space="preserve">Ściany </w:t>
            </w:r>
          </w:p>
          <w:p w:rsidR="004626E4" w:rsidRPr="00E20662" w:rsidRDefault="004626E4" w:rsidP="004626E4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Zewnętrzne z </w:t>
            </w:r>
            <w:r w:rsidR="00FB2E56"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blocz</w:t>
            </w:r>
            <w:r w:rsidR="00206A44">
              <w:rPr>
                <w:rFonts w:ascii="Calibri" w:hAnsi="Calibri" w:cs="Calibri"/>
                <w:sz w:val="19"/>
                <w:szCs w:val="19"/>
                <w:lang w:eastAsia="pl-PL"/>
              </w:rPr>
              <w:t>ków silikatowych lub cegły ceramicznej lub gazobetonu</w:t>
            </w:r>
            <w:r w:rsidR="00E34C29"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 </w:t>
            </w: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gr.2</w:t>
            </w:r>
            <w:r w:rsidR="00FB2E56"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4</w:t>
            </w:r>
            <w:r w:rsidR="00E34C29"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 oraz </w:t>
            </w: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żelbetowe 2</w:t>
            </w:r>
            <w:r w:rsidR="00FB2E56"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4 </w:t>
            </w: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cm </w:t>
            </w:r>
          </w:p>
          <w:p w:rsidR="00FB2E56" w:rsidRPr="00E20662" w:rsidRDefault="004626E4" w:rsidP="004626E4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Wewnętrzne</w:t>
            </w:r>
            <w:r w:rsidR="00FB2E56"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 międzylokalowe -</w:t>
            </w: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bloczek </w:t>
            </w:r>
            <w:r w:rsidR="00206A44">
              <w:rPr>
                <w:rFonts w:ascii="Calibri" w:hAnsi="Calibri" w:cs="Calibri"/>
                <w:sz w:val="19"/>
                <w:szCs w:val="19"/>
                <w:lang w:eastAsia="pl-PL"/>
              </w:rPr>
              <w:t>silikatowy  lub cegła ceramiczna lub gazobeton</w:t>
            </w:r>
            <w:r w:rsidR="00206A44"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 </w:t>
            </w: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gr. </w:t>
            </w:r>
            <w:r w:rsidR="00FB2E56"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18</w:t>
            </w: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 cm, </w:t>
            </w:r>
          </w:p>
          <w:p w:rsidR="002E7B01" w:rsidRPr="00206A44" w:rsidRDefault="00FB2E56" w:rsidP="002E7B0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Działowe (w lokalach mieszkalnych) – bloczek </w:t>
            </w:r>
            <w:r w:rsidR="00206A44">
              <w:rPr>
                <w:rFonts w:ascii="Calibri" w:hAnsi="Calibri" w:cs="Calibri"/>
                <w:sz w:val="19"/>
                <w:szCs w:val="19"/>
                <w:lang w:eastAsia="pl-PL"/>
              </w:rPr>
              <w:t>silikatowy</w:t>
            </w:r>
            <w:r w:rsidR="009E2121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 lub</w:t>
            </w:r>
            <w:r w:rsidR="00206A44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 cegła ceramiczna lub gazobeton</w:t>
            </w:r>
            <w:r w:rsidR="00206A44"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 </w:t>
            </w:r>
            <w:r w:rsidR="00E71AAF"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 </w:t>
            </w: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gr. </w:t>
            </w:r>
            <w:r w:rsidR="00E71AAF"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12 i 8 cm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b/>
                <w:bCs/>
                <w:sz w:val="19"/>
                <w:szCs w:val="19"/>
              </w:rPr>
              <w:t>STANDARD WYKOŃCZENIA BUDYNKU I CZĘŚCI WSPÓLNYCH (WEWNĄTRZ)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b/>
                <w:bCs/>
                <w:sz w:val="19"/>
                <w:szCs w:val="19"/>
                <w:lang w:eastAsia="pl-PL"/>
              </w:rPr>
              <w:t>1. Tynki wewnętrzne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Tynki gipsowe maszynowe.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Klatka schodowa malowana.</w:t>
            </w:r>
          </w:p>
          <w:p w:rsidR="002E7B01" w:rsidRPr="00E20662" w:rsidRDefault="00021822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Kom</w:t>
            </w:r>
            <w:r w:rsidR="00E71AAF"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u</w:t>
            </w: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nikacja</w:t>
            </w:r>
            <w:r w:rsidR="002E7B01"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 na kondygnacji (-1) –</w:t>
            </w:r>
            <w:r w:rsidR="003144BC"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 </w:t>
            </w:r>
            <w:r w:rsidR="002E7B01"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tynki maszynowe cementowo-wapienne.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b/>
                <w:bCs/>
                <w:sz w:val="19"/>
                <w:szCs w:val="19"/>
                <w:lang w:eastAsia="pl-PL"/>
              </w:rPr>
              <w:t>2. Posadzki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Na klatce schodowej i w pomieszczeniach technicznych okładziny z płytek gresowych antypoślizgowych. 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b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  <w:lang w:eastAsia="pl-PL"/>
              </w:rPr>
              <w:t>3. Schody</w:t>
            </w:r>
          </w:p>
          <w:p w:rsidR="002E7B01" w:rsidRPr="00E20662" w:rsidRDefault="002E7B01" w:rsidP="00E71AAF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Izolowane schody żelbetowe</w:t>
            </w:r>
            <w:r w:rsidR="00E71AAF" w:rsidRPr="00E20662">
              <w:rPr>
                <w:rFonts w:ascii="Calibri" w:hAnsi="Calibri" w:cs="Calibri"/>
                <w:sz w:val="19"/>
                <w:szCs w:val="19"/>
              </w:rPr>
              <w:t xml:space="preserve">, </w:t>
            </w:r>
            <w:r w:rsidRPr="00E20662">
              <w:rPr>
                <w:rFonts w:ascii="Calibri" w:hAnsi="Calibri" w:cs="Calibri"/>
                <w:sz w:val="19"/>
                <w:szCs w:val="19"/>
              </w:rPr>
              <w:t>płytowe, dwubiegowe monolityczne, wykończone płytkami</w:t>
            </w:r>
            <w:r w:rsidR="00E71AAF" w:rsidRPr="00E20662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206A44">
              <w:rPr>
                <w:rFonts w:ascii="Calibri" w:hAnsi="Calibri" w:cs="Calibri"/>
                <w:sz w:val="19"/>
                <w:szCs w:val="19"/>
              </w:rPr>
              <w:t xml:space="preserve">gresowymi </w:t>
            </w:r>
            <w:r w:rsidRPr="00E20662">
              <w:rPr>
                <w:rFonts w:ascii="Calibri" w:hAnsi="Calibri" w:cs="Calibri"/>
                <w:sz w:val="19"/>
                <w:szCs w:val="19"/>
              </w:rPr>
              <w:t>antypoślizgowymi.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b/>
                <w:bCs/>
                <w:sz w:val="19"/>
                <w:szCs w:val="19"/>
                <w:lang w:eastAsia="pl-PL"/>
              </w:rPr>
              <w:t>4. Balustrady wewnętrzne</w:t>
            </w:r>
          </w:p>
          <w:p w:rsidR="002E7B01" w:rsidRPr="00E20662" w:rsidRDefault="002E7B01" w:rsidP="0033002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cs="Calibri"/>
                <w:sz w:val="20"/>
                <w:szCs w:val="20"/>
                <w:lang w:eastAsia="pl-PL"/>
              </w:rPr>
              <w:t>Balustrady</w:t>
            </w:r>
            <w:r w:rsidRPr="00E20662">
              <w:rPr>
                <w:rFonts w:cs="Calibri"/>
                <w:sz w:val="20"/>
                <w:szCs w:val="20"/>
              </w:rPr>
              <w:t xml:space="preserve"> stalowe (profile stalowe malowane</w:t>
            </w:r>
            <w:r w:rsidRPr="00E20662">
              <w:rPr>
                <w:rFonts w:cs="Calibri"/>
                <w:sz w:val="20"/>
                <w:szCs w:val="20"/>
                <w:shd w:val="clear" w:color="auto" w:fill="FFFFFF"/>
              </w:rPr>
              <w:t xml:space="preserve">) - </w:t>
            </w:r>
            <w:r w:rsidRPr="00E20662">
              <w:rPr>
                <w:rFonts w:cs="Calibri"/>
                <w:sz w:val="20"/>
                <w:szCs w:val="20"/>
              </w:rPr>
              <w:t>wys. 1,10 m.</w:t>
            </w: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br/>
            </w:r>
            <w:r w:rsidRPr="00E20662">
              <w:rPr>
                <w:rFonts w:ascii="Calibri" w:hAnsi="Calibri" w:cs="Calibri"/>
                <w:b/>
                <w:bCs/>
                <w:sz w:val="19"/>
                <w:szCs w:val="19"/>
                <w:lang w:eastAsia="pl-PL"/>
              </w:rPr>
              <w:t>6. Wind</w:t>
            </w:r>
            <w:r w:rsidR="00002B97" w:rsidRPr="00E20662">
              <w:rPr>
                <w:rFonts w:ascii="Calibri" w:hAnsi="Calibri" w:cs="Calibri"/>
                <w:b/>
                <w:bCs/>
                <w:sz w:val="19"/>
                <w:szCs w:val="19"/>
                <w:lang w:eastAsia="pl-PL"/>
              </w:rPr>
              <w:t>a</w:t>
            </w: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br/>
            </w:r>
            <w:r w:rsidR="0080058D"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Winda</w:t>
            </w: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 od poziomu -1, do </w:t>
            </w:r>
            <w:r w:rsidR="00A716FF"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5</w:t>
            </w: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-ej kondygnacji budynku</w:t>
            </w:r>
            <w:r w:rsidR="00A716FF"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.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b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  <w:lang w:eastAsia="pl-PL"/>
              </w:rPr>
              <w:t xml:space="preserve">7. </w:t>
            </w:r>
            <w:r w:rsidR="00206A44">
              <w:rPr>
                <w:rFonts w:ascii="Calibri" w:hAnsi="Calibri" w:cs="Calibri"/>
                <w:b/>
                <w:sz w:val="19"/>
                <w:szCs w:val="19"/>
                <w:lang w:eastAsia="pl-PL"/>
              </w:rPr>
              <w:t>Miejscowy monitoring części wspólnych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Budynek wyposażony w monitoring. Rozmieszczenie kamer zgodnie z projektem wykonawczym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b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  <w:lang w:eastAsia="pl-PL"/>
              </w:rPr>
              <w:t>8. Wyposażenie klatek schodowych</w:t>
            </w:r>
          </w:p>
          <w:p w:rsidR="002E7B01" w:rsidRPr="00E20662" w:rsidRDefault="002E7B01" w:rsidP="002E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• skrzynki na listy,</w:t>
            </w:r>
          </w:p>
          <w:p w:rsidR="002E7B01" w:rsidRPr="00E20662" w:rsidRDefault="002E7B01" w:rsidP="002E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• oznaczenie kondygnacji </w:t>
            </w:r>
          </w:p>
          <w:p w:rsidR="002E7B01" w:rsidRPr="00E20662" w:rsidRDefault="002E7B01" w:rsidP="002E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• nazwa inwestycji i logo </w:t>
            </w:r>
          </w:p>
          <w:p w:rsidR="002E7B01" w:rsidRPr="00E20662" w:rsidRDefault="002E7B01" w:rsidP="002E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• drzwi do szachtów instalacyjnych ze sklejki</w:t>
            </w:r>
            <w:r w:rsidR="00A14AF6"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/płyty meblowej </w:t>
            </w: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w kolorze</w:t>
            </w:r>
          </w:p>
          <w:p w:rsidR="00DB7019" w:rsidRPr="00E20662" w:rsidRDefault="002E7B01" w:rsidP="00DB7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• Logo dewelopera/Generalnego Wykonawcy</w:t>
            </w:r>
          </w:p>
          <w:p w:rsidR="002E7B01" w:rsidRPr="00E20662" w:rsidRDefault="00DB7019" w:rsidP="00DB7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• </w:t>
            </w:r>
            <w:r w:rsidR="002E7B01"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Drzwi zewnętrzne dwuskrzydłowe w ramie aluminiowej, przeszklone z samozamykaczem.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b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  <w:lang w:eastAsia="pl-PL"/>
              </w:rPr>
              <w:t>9. Komórki</w:t>
            </w:r>
            <w:r w:rsidR="00C72535" w:rsidRPr="00E20662">
              <w:rPr>
                <w:rFonts w:ascii="Calibri" w:hAnsi="Calibri" w:cs="Calibri"/>
                <w:b/>
                <w:sz w:val="19"/>
                <w:szCs w:val="19"/>
                <w:lang w:eastAsia="pl-PL"/>
              </w:rPr>
              <w:t xml:space="preserve"> lokatorskie</w:t>
            </w:r>
            <w:r w:rsidRPr="00E20662">
              <w:rPr>
                <w:rFonts w:ascii="Calibri" w:hAnsi="Calibri" w:cs="Calibri"/>
                <w:b/>
                <w:sz w:val="19"/>
                <w:szCs w:val="19"/>
                <w:lang w:eastAsia="pl-PL"/>
              </w:rPr>
              <w:t>, garaż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lang w:eastAsia="pl-PL"/>
              </w:rPr>
            </w:pPr>
            <w:r w:rsidRPr="00E20662">
              <w:rPr>
                <w:rFonts w:cs="Calibri"/>
                <w:b/>
                <w:sz w:val="18"/>
                <w:szCs w:val="18"/>
                <w:lang w:eastAsia="pl-PL"/>
              </w:rPr>
              <w:t>Komórki  (poziom -1)</w:t>
            </w:r>
          </w:p>
          <w:p w:rsidR="002E7B01" w:rsidRPr="00E20662" w:rsidRDefault="00C72535" w:rsidP="002E7B01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E20662">
              <w:rPr>
                <w:rFonts w:cs="Calibri"/>
                <w:sz w:val="18"/>
                <w:szCs w:val="18"/>
                <w:lang w:eastAsia="pl-PL"/>
              </w:rPr>
              <w:t>Wydzielone siatką stalową</w:t>
            </w:r>
            <w:r w:rsidR="009F1975">
              <w:rPr>
                <w:rFonts w:cs="Calibri"/>
                <w:sz w:val="18"/>
                <w:szCs w:val="18"/>
                <w:lang w:eastAsia="pl-PL"/>
              </w:rPr>
              <w:t>;</w:t>
            </w:r>
            <w:r w:rsidRPr="00E20662">
              <w:rPr>
                <w:rFonts w:cs="Calibri"/>
                <w:sz w:val="18"/>
                <w:szCs w:val="18"/>
                <w:lang w:eastAsia="pl-PL"/>
              </w:rPr>
              <w:t xml:space="preserve"> s</w:t>
            </w:r>
            <w:r w:rsidR="002E7B01" w:rsidRPr="00E20662">
              <w:rPr>
                <w:rFonts w:cs="Calibri"/>
                <w:sz w:val="18"/>
                <w:szCs w:val="18"/>
                <w:lang w:eastAsia="pl-PL"/>
              </w:rPr>
              <w:t>ystemowe ścianki ażurow</w:t>
            </w:r>
            <w:r w:rsidR="009F1975">
              <w:rPr>
                <w:rFonts w:cs="Calibri"/>
                <w:sz w:val="18"/>
                <w:szCs w:val="18"/>
                <w:lang w:eastAsia="pl-PL"/>
              </w:rPr>
              <w:t>e z blachy stalowej ocynkowanej</w:t>
            </w:r>
            <w:r w:rsidR="00206A44">
              <w:rPr>
                <w:rFonts w:cs="Calibri"/>
                <w:sz w:val="18"/>
                <w:szCs w:val="18"/>
                <w:lang w:eastAsia="pl-PL"/>
              </w:rPr>
              <w:t xml:space="preserve"> lub</w:t>
            </w:r>
            <w:r w:rsidR="009F1975">
              <w:rPr>
                <w:rFonts w:cs="Calibri"/>
                <w:sz w:val="18"/>
                <w:szCs w:val="18"/>
                <w:lang w:eastAsia="pl-PL"/>
              </w:rPr>
              <w:t xml:space="preserve"> murowane (nie malowane).</w:t>
            </w:r>
            <w:r w:rsidR="009E2121">
              <w:rPr>
                <w:rFonts w:cs="Calibri"/>
                <w:sz w:val="18"/>
                <w:szCs w:val="18"/>
                <w:lang w:eastAsia="pl-PL"/>
              </w:rPr>
              <w:t xml:space="preserve"> Posadzka betonowa.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b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  <w:lang w:eastAsia="pl-PL"/>
              </w:rPr>
              <w:t>Garaż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Posadzka: 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● płyta fundamentowa</w:t>
            </w:r>
            <w:r w:rsidR="004626E4"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 zatarta na gładko</w:t>
            </w: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 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Ściany: 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● nietynkowane, niemalowane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Oznakowanie ścian i posadzki:</w:t>
            </w:r>
          </w:p>
          <w:p w:rsidR="002E7B01" w:rsidRPr="00E20662" w:rsidRDefault="002E7B01" w:rsidP="00DB701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●na ścianach, narożach, słupach oznakowanie ostrzegawcze w kolorze</w:t>
            </w:r>
            <w:r w:rsidR="00002B97"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.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● miejsca postojowe: wydzielone liniami z numerem miejsca.</w:t>
            </w:r>
          </w:p>
          <w:p w:rsidR="00424E12" w:rsidRPr="00E20662" w:rsidRDefault="008975F2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● brama wjazdowa sterowana pilotem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b/>
                <w:bCs/>
                <w:sz w:val="19"/>
                <w:szCs w:val="19"/>
                <w:lang w:eastAsia="pl-PL"/>
              </w:rPr>
              <w:t>1</w:t>
            </w:r>
            <w:r w:rsidR="00424E12" w:rsidRPr="00E20662">
              <w:rPr>
                <w:rFonts w:ascii="Calibri" w:hAnsi="Calibri" w:cs="Calibri"/>
                <w:b/>
                <w:bCs/>
                <w:sz w:val="19"/>
                <w:szCs w:val="19"/>
                <w:lang w:eastAsia="pl-PL"/>
              </w:rPr>
              <w:t>0</w:t>
            </w:r>
            <w:r w:rsidRPr="00E20662">
              <w:rPr>
                <w:rFonts w:ascii="Calibri" w:hAnsi="Calibri" w:cs="Calibri"/>
                <w:b/>
                <w:bCs/>
                <w:sz w:val="19"/>
                <w:szCs w:val="19"/>
                <w:lang w:eastAsia="pl-PL"/>
              </w:rPr>
              <w:t>. Śmietnik</w:t>
            </w:r>
            <w:r w:rsidR="00916B1B"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 – kondygnacja „-1</w:t>
            </w: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”, </w:t>
            </w:r>
            <w:r w:rsidR="008975F2"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lokalizacja zgodna z projektem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• ścian</w:t>
            </w:r>
            <w:r w:rsidR="008975F2"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y</w:t>
            </w: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 i podsadz</w:t>
            </w:r>
            <w:r w:rsidR="008975F2"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ki:</w:t>
            </w:r>
            <w:r w:rsidR="00206A44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 gres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b/>
                <w:bCs/>
                <w:sz w:val="19"/>
                <w:szCs w:val="19"/>
                <w:lang w:eastAsia="pl-PL"/>
              </w:rPr>
              <w:t xml:space="preserve">STANDARD WYKOŃCZENIA BUDYNKU </w:t>
            </w:r>
            <w:r w:rsidRPr="00E20662">
              <w:rPr>
                <w:rFonts w:ascii="Calibri" w:hAnsi="Calibri" w:cs="Calibri"/>
                <w:b/>
                <w:bCs/>
                <w:sz w:val="19"/>
                <w:szCs w:val="19"/>
                <w:lang w:eastAsia="pl-PL"/>
              </w:rPr>
              <w:br/>
              <w:t>Z ZEWNĄTRZ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 </w:t>
            </w:r>
            <w:r w:rsidRPr="00E20662">
              <w:rPr>
                <w:rFonts w:ascii="Calibri" w:hAnsi="Calibri" w:cs="Calibri"/>
                <w:b/>
                <w:bCs/>
                <w:sz w:val="19"/>
                <w:szCs w:val="19"/>
                <w:lang w:eastAsia="pl-PL"/>
              </w:rPr>
              <w:t>1. Elewacja</w:t>
            </w:r>
          </w:p>
          <w:p w:rsidR="00C72535" w:rsidRPr="00E20662" w:rsidRDefault="00A75374" w:rsidP="00DB7019">
            <w:pPr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Elewacja</w:t>
            </w:r>
            <w:r w:rsidR="00C72535"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 metodą lekką-mokrą– styropian gr. </w:t>
            </w: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16</w:t>
            </w:r>
            <w:r w:rsidR="003F2088"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 cm </w:t>
            </w:r>
            <w:r w:rsidR="00C72535"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– zgodnie z projektem wykonawczym</w:t>
            </w:r>
            <w:r w:rsidR="00206A44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; </w:t>
            </w:r>
          </w:p>
          <w:p w:rsidR="002E7B01" w:rsidRPr="00E20662" w:rsidRDefault="002E7B01" w:rsidP="002E7B01">
            <w:pPr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Logo dewelopera/Generalnego Wykonawcy.</w:t>
            </w:r>
          </w:p>
          <w:p w:rsidR="002E7B01" w:rsidRPr="00E20662" w:rsidRDefault="002E7B01" w:rsidP="002E7B01">
            <w:pPr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bCs/>
                <w:sz w:val="19"/>
                <w:szCs w:val="19"/>
                <w:lang w:eastAsia="pl-PL"/>
              </w:rPr>
              <w:t>2. Parapety zewnętrzne</w:t>
            </w:r>
          </w:p>
          <w:p w:rsidR="002E7B01" w:rsidRPr="00E20662" w:rsidRDefault="00A72C54" w:rsidP="002E7B01">
            <w:pPr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  <w:lang w:eastAsia="pl-PL"/>
              </w:rPr>
              <w:t>Blacha stalowa powlekana</w:t>
            </w:r>
            <w:r w:rsidR="002E7B01"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, z wywinięciem.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b/>
                <w:bCs/>
                <w:sz w:val="19"/>
                <w:szCs w:val="19"/>
                <w:lang w:eastAsia="pl-PL"/>
              </w:rPr>
              <w:t>3. Dach</w:t>
            </w:r>
          </w:p>
          <w:p w:rsidR="003F2088" w:rsidRPr="00E20662" w:rsidRDefault="00E34C29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bCs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bCs/>
                <w:sz w:val="19"/>
                <w:szCs w:val="19"/>
                <w:lang w:eastAsia="pl-PL"/>
              </w:rPr>
              <w:t xml:space="preserve">Płyta żelbetowa wg projektu konstrukcji; system dachów zielonych </w:t>
            </w:r>
            <w:r w:rsidR="0055403E" w:rsidRPr="00E20662">
              <w:rPr>
                <w:rFonts w:ascii="Calibri" w:hAnsi="Calibri" w:cs="Calibri"/>
                <w:bCs/>
                <w:sz w:val="19"/>
                <w:szCs w:val="19"/>
                <w:lang w:eastAsia="pl-PL"/>
              </w:rPr>
              <w:t>.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 </w:t>
            </w:r>
            <w:r w:rsidRPr="00E20662">
              <w:rPr>
                <w:rFonts w:ascii="Calibri" w:hAnsi="Calibri" w:cs="Calibri"/>
                <w:b/>
                <w:bCs/>
                <w:sz w:val="19"/>
                <w:szCs w:val="19"/>
                <w:lang w:eastAsia="pl-PL"/>
              </w:rPr>
              <w:t>4. Dojazdy i dojścia do budynku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Dojazdy i ciągi pieszo-jezdne wyłożone kostką betonową na podsypce cementowo-piaskowej</w:t>
            </w:r>
          </w:p>
          <w:p w:rsidR="002E7B01" w:rsidRPr="00E20662" w:rsidRDefault="00002B97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b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  <w:lang w:eastAsia="pl-PL"/>
              </w:rPr>
              <w:t>5</w:t>
            </w:r>
            <w:r w:rsidR="002E7B01" w:rsidRPr="00E20662">
              <w:rPr>
                <w:rFonts w:ascii="Calibri" w:hAnsi="Calibri" w:cs="Calibri"/>
                <w:b/>
                <w:sz w:val="19"/>
                <w:szCs w:val="19"/>
                <w:lang w:eastAsia="pl-PL"/>
              </w:rPr>
              <w:t xml:space="preserve">. Reklama </w:t>
            </w:r>
          </w:p>
          <w:p w:rsidR="002E7B01" w:rsidRPr="00E20662" w:rsidRDefault="002E7B01" w:rsidP="002E7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Elementy zewnętrznej komunikacji wizualnej, </w:t>
            </w: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br/>
              <w:t>tj. nazwa budynku/logo</w:t>
            </w:r>
            <w:r w:rsidR="008975F2"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.</w:t>
            </w: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 </w:t>
            </w:r>
          </w:p>
          <w:p w:rsidR="002E7B01" w:rsidRPr="00E20662" w:rsidRDefault="002E7B01" w:rsidP="002E7B01">
            <w:pPr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</w:rPr>
              <w:t>HALA GARAŻOWA NIE JEST PRZYSTOSOWANA DO PARKOWANIA SAMOCHODÓW Z INSTALACJĄ LPG.</w:t>
            </w:r>
          </w:p>
          <w:p w:rsidR="002E7B01" w:rsidRPr="00E20662" w:rsidRDefault="002E7B01" w:rsidP="002E7B01">
            <w:pPr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20662" w:rsidRPr="00E20662" w:rsidTr="002E7B01">
        <w:tblPrEx>
          <w:tblCellMar>
            <w:left w:w="40" w:type="dxa"/>
            <w:right w:w="40" w:type="dxa"/>
          </w:tblCellMar>
        </w:tblPrEx>
        <w:trPr>
          <w:gridBefore w:val="2"/>
          <w:gridAfter w:val="1"/>
          <w:wBefore w:w="119" w:type="dxa"/>
          <w:wAfter w:w="148" w:type="dxa"/>
          <w:trHeight w:val="945"/>
        </w:trPr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B01" w:rsidRPr="00E20662" w:rsidRDefault="002E7B01" w:rsidP="002E7B01">
            <w:pPr>
              <w:spacing w:after="0" w:line="240" w:lineRule="auto"/>
              <w:ind w:left="28" w:right="57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Określenie usytuowania lokalu mieszkalnego w budynku, jeżeli przedsięwzięcie deweloperskie dotyczy lokali mieszkalnych</w:t>
            </w:r>
          </w:p>
        </w:tc>
        <w:tc>
          <w:tcPr>
            <w:tcW w:w="66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 xml:space="preserve">Lokal mieszkalny nr budowlany </w:t>
            </w:r>
            <w:r w:rsidR="00652446">
              <w:rPr>
                <w:rFonts w:ascii="Calibri" w:hAnsi="Calibri" w:cs="Calibri"/>
                <w:sz w:val="19"/>
                <w:szCs w:val="19"/>
              </w:rPr>
              <w:t>………..</w:t>
            </w:r>
            <w:r w:rsidRPr="00E20662">
              <w:rPr>
                <w:rFonts w:ascii="Calibri" w:hAnsi="Calibri" w:cs="Calibri"/>
                <w:sz w:val="19"/>
                <w:szCs w:val="19"/>
              </w:rPr>
              <w:t xml:space="preserve"> położony na </w:t>
            </w:r>
            <w:r w:rsidR="00652446">
              <w:rPr>
                <w:rFonts w:ascii="Calibri" w:hAnsi="Calibri" w:cs="Calibri"/>
                <w:sz w:val="19"/>
                <w:szCs w:val="19"/>
              </w:rPr>
              <w:t>…..</w:t>
            </w:r>
            <w:r w:rsidR="00DB1423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A30A76">
              <w:rPr>
                <w:rFonts w:ascii="Calibri" w:hAnsi="Calibri" w:cs="Calibri"/>
                <w:sz w:val="19"/>
                <w:szCs w:val="19"/>
              </w:rPr>
              <w:t xml:space="preserve">kondygnacji </w:t>
            </w:r>
            <w:r w:rsidR="00652446">
              <w:rPr>
                <w:rFonts w:ascii="Calibri" w:hAnsi="Calibri" w:cs="Calibri"/>
                <w:sz w:val="19"/>
                <w:szCs w:val="19"/>
              </w:rPr>
              <w:t>(…</w:t>
            </w:r>
            <w:r w:rsidR="00A30A76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E20662">
              <w:rPr>
                <w:rFonts w:ascii="Calibri" w:hAnsi="Calibri" w:cs="Calibri"/>
                <w:sz w:val="19"/>
                <w:szCs w:val="19"/>
              </w:rPr>
              <w:t>-piętrze)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20662" w:rsidRPr="00E20662" w:rsidTr="002E7B01">
        <w:tblPrEx>
          <w:tblCellMar>
            <w:left w:w="40" w:type="dxa"/>
            <w:right w:w="40" w:type="dxa"/>
          </w:tblCellMar>
        </w:tblPrEx>
        <w:trPr>
          <w:gridBefore w:val="2"/>
          <w:gridAfter w:val="1"/>
          <w:wBefore w:w="119" w:type="dxa"/>
          <w:wAfter w:w="148" w:type="dxa"/>
          <w:trHeight w:val="1425"/>
        </w:trPr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B01" w:rsidRPr="00E20662" w:rsidRDefault="002E7B01" w:rsidP="002E7B01">
            <w:pPr>
              <w:spacing w:after="0" w:line="240" w:lineRule="auto"/>
              <w:ind w:left="28" w:right="57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>Określenie powierzchni i układu</w:t>
            </w:r>
            <w:r w:rsidRPr="00E20662">
              <w:rPr>
                <w:rFonts w:ascii="Calibri" w:hAnsi="Calibri" w:cs="Calibri"/>
                <w:sz w:val="19"/>
                <w:szCs w:val="19"/>
              </w:rPr>
              <w:br/>
              <w:t xml:space="preserve">pomieszczeń oraz zakresu </w:t>
            </w:r>
            <w:r w:rsidRPr="00E20662">
              <w:rPr>
                <w:rFonts w:ascii="Calibri" w:hAnsi="Calibri" w:cs="Calibri"/>
                <w:sz w:val="19"/>
                <w:szCs w:val="19"/>
              </w:rPr>
              <w:br/>
              <w:t>i standardu prac wykończeniowych, do których wykonania zobowiązuje się deweloper</w:t>
            </w:r>
          </w:p>
        </w:tc>
        <w:tc>
          <w:tcPr>
            <w:tcW w:w="66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</w:rPr>
              <w:t xml:space="preserve">Powierzchnia lokalu: </w:t>
            </w:r>
            <w:r w:rsidR="00652446">
              <w:rPr>
                <w:rFonts w:ascii="Calibri" w:hAnsi="Calibri" w:cs="Calibri"/>
                <w:b/>
                <w:sz w:val="19"/>
                <w:szCs w:val="19"/>
              </w:rPr>
              <w:t>……………..</w:t>
            </w:r>
            <w:r w:rsidRPr="00E20662">
              <w:rPr>
                <w:rFonts w:ascii="Calibri" w:hAnsi="Calibri" w:cs="Calibri"/>
                <w:b/>
                <w:sz w:val="19"/>
                <w:szCs w:val="19"/>
              </w:rPr>
              <w:t xml:space="preserve">m2 składający się z: </w:t>
            </w:r>
            <w:r w:rsidR="00A30A76">
              <w:rPr>
                <w:rFonts w:ascii="Calibri" w:hAnsi="Calibri" w:cs="Calibri"/>
                <w:b/>
                <w:sz w:val="19"/>
                <w:szCs w:val="19"/>
              </w:rPr>
              <w:t>hallu, pokoju</w:t>
            </w:r>
            <w:r w:rsidRPr="00E20662">
              <w:rPr>
                <w:rFonts w:ascii="Calibri" w:hAnsi="Calibri" w:cs="Calibri"/>
                <w:b/>
                <w:sz w:val="19"/>
                <w:szCs w:val="19"/>
              </w:rPr>
              <w:t xml:space="preserve"> z aneksem, </w:t>
            </w:r>
            <w:r w:rsidR="00A30A76">
              <w:rPr>
                <w:rFonts w:ascii="Calibri" w:hAnsi="Calibri" w:cs="Calibri"/>
                <w:b/>
                <w:sz w:val="19"/>
                <w:szCs w:val="19"/>
              </w:rPr>
              <w:t>pokoju</w:t>
            </w:r>
            <w:r w:rsidRPr="00E20662">
              <w:rPr>
                <w:rFonts w:ascii="Calibri" w:hAnsi="Calibri" w:cs="Calibri"/>
                <w:b/>
                <w:sz w:val="19"/>
                <w:szCs w:val="19"/>
              </w:rPr>
              <w:t>,</w:t>
            </w:r>
            <w:r w:rsidR="00DB1423">
              <w:rPr>
                <w:rFonts w:ascii="Calibri" w:hAnsi="Calibri" w:cs="Calibri"/>
                <w:b/>
                <w:sz w:val="19"/>
                <w:szCs w:val="19"/>
              </w:rPr>
              <w:t xml:space="preserve"> pokoju,</w:t>
            </w:r>
            <w:r w:rsidRPr="00E20662">
              <w:rPr>
                <w:rFonts w:ascii="Calibri" w:hAnsi="Calibri" w:cs="Calibri"/>
                <w:b/>
                <w:sz w:val="19"/>
                <w:szCs w:val="19"/>
              </w:rPr>
              <w:t xml:space="preserve"> łazienki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</w:rPr>
            </w:pP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bCs/>
                <w:sz w:val="19"/>
                <w:szCs w:val="19"/>
              </w:rPr>
              <w:t>STANDARD WYKOŃCZENIA MIESZKAŃ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b/>
                <w:bCs/>
                <w:sz w:val="19"/>
                <w:szCs w:val="19"/>
                <w:lang w:eastAsia="pl-PL"/>
              </w:rPr>
              <w:t>Tynki wewnętrzne na ścianach i sufitach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Gipsowe, wykonywane mechanicznie bez malowania.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b/>
                <w:bCs/>
                <w:sz w:val="19"/>
                <w:szCs w:val="19"/>
                <w:lang w:eastAsia="pl-PL"/>
              </w:rPr>
              <w:t>Okna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PCV (zgodnie z projektem), w jednostronnym kolorze, trzyszybowe.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b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  <w:lang w:eastAsia="pl-PL"/>
              </w:rPr>
              <w:t xml:space="preserve">Parapety wewnętrzne 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Konglomerat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b/>
                <w:bCs/>
                <w:sz w:val="19"/>
                <w:szCs w:val="19"/>
                <w:lang w:eastAsia="pl-PL"/>
              </w:rPr>
              <w:t>Ścianki działowe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 xml:space="preserve">Z bloczków </w:t>
            </w:r>
            <w:r w:rsidR="00206A44">
              <w:rPr>
                <w:rFonts w:ascii="Calibri" w:hAnsi="Calibri" w:cs="Calibri"/>
                <w:sz w:val="19"/>
                <w:szCs w:val="19"/>
              </w:rPr>
              <w:t xml:space="preserve">silikatowych lub cegły ceramicznej lub gazobetonu </w:t>
            </w:r>
            <w:r w:rsidRPr="00E20662">
              <w:rPr>
                <w:rFonts w:ascii="Calibri" w:hAnsi="Calibri" w:cs="Calibri"/>
                <w:sz w:val="19"/>
                <w:szCs w:val="19"/>
              </w:rPr>
              <w:t>gr. 8 i 12 (w łazienkach) cm obustronnie tynkowane.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b/>
                <w:bCs/>
                <w:sz w:val="19"/>
                <w:szCs w:val="19"/>
                <w:lang w:eastAsia="pl-PL"/>
              </w:rPr>
              <w:t>Drzwi wejściowe do mieszkań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O zwiększonej odporności na włamanie</w:t>
            </w:r>
            <w:r w:rsidRPr="00E20662">
              <w:rPr>
                <w:rFonts w:ascii="Calibri" w:hAnsi="Calibri" w:cs="Calibri"/>
                <w:sz w:val="19"/>
                <w:szCs w:val="19"/>
              </w:rPr>
              <w:t>,</w:t>
            </w: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 jednoskrzydłowe pełne z wizjerem i klamką.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b/>
                <w:bCs/>
                <w:sz w:val="19"/>
                <w:szCs w:val="19"/>
                <w:lang w:eastAsia="pl-PL"/>
              </w:rPr>
              <w:t>Balkony</w:t>
            </w:r>
            <w:r w:rsidR="00206A44">
              <w:rPr>
                <w:rFonts w:ascii="Calibri" w:hAnsi="Calibri" w:cs="Calibri"/>
                <w:b/>
                <w:bCs/>
                <w:sz w:val="19"/>
                <w:szCs w:val="19"/>
                <w:lang w:eastAsia="pl-PL"/>
              </w:rPr>
              <w:t>/Tarasy</w:t>
            </w:r>
          </w:p>
          <w:p w:rsidR="00206A44" w:rsidRPr="00E20662" w:rsidRDefault="00EE47F6" w:rsidP="002E7B01">
            <w:pPr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B</w:t>
            </w:r>
            <w:r w:rsidR="00B205C9"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alustrady</w:t>
            </w:r>
            <w:r w:rsidR="00B205C9" w:rsidRPr="00E20662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E20662">
              <w:rPr>
                <w:rFonts w:ascii="Calibri" w:hAnsi="Calibri" w:cs="Calibri"/>
                <w:sz w:val="19"/>
                <w:szCs w:val="19"/>
              </w:rPr>
              <w:t>z wypełnianiem szklanym – przeziernym oraz stalowe</w:t>
            </w:r>
            <w:r w:rsidR="00B205C9" w:rsidRPr="00E20662">
              <w:rPr>
                <w:rFonts w:ascii="Calibri" w:hAnsi="Calibri" w:cs="Calibri"/>
                <w:sz w:val="19"/>
                <w:szCs w:val="19"/>
              </w:rPr>
              <w:t>,</w:t>
            </w:r>
            <w:r w:rsidR="00197C87" w:rsidRPr="00E20662">
              <w:rPr>
                <w:rFonts w:ascii="Calibri" w:hAnsi="Calibri" w:cs="Calibri"/>
                <w:sz w:val="19"/>
                <w:szCs w:val="19"/>
              </w:rPr>
              <w:t xml:space="preserve"> cynkowane, malowane proszkowo; balustr</w:t>
            </w:r>
            <w:r w:rsidR="00206A44">
              <w:rPr>
                <w:rFonts w:ascii="Calibri" w:hAnsi="Calibri" w:cs="Calibri"/>
                <w:sz w:val="19"/>
                <w:szCs w:val="19"/>
              </w:rPr>
              <w:t>ady stalowe, cynkowane, malowane. Płytki gresowe montowane na klej lub układane na podstawkach.</w:t>
            </w:r>
          </w:p>
          <w:p w:rsidR="002E7B01" w:rsidRPr="00E20662" w:rsidRDefault="002E7B01" w:rsidP="002E7B01">
            <w:pPr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bCs/>
                <w:sz w:val="19"/>
                <w:szCs w:val="19"/>
                <w:lang w:eastAsia="pl-PL"/>
              </w:rPr>
              <w:t>Instalacja elektryczna</w:t>
            </w:r>
          </w:p>
          <w:p w:rsidR="002E7B01" w:rsidRPr="00E20662" w:rsidRDefault="002E7B01" w:rsidP="002E7B01">
            <w:pPr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Podejście 3-fazowe do kuchni elektrycznej, wykonanie podejść do gniazd </w:t>
            </w: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br/>
              <w:t xml:space="preserve">i przełączników (bez montażu gniazd i przełączników), instalacja dzwonka elektrycznego. Punkty bez opraw. Rozmieszczenie i ilość zgodnie z projektem wykonawczym. </w:t>
            </w:r>
            <w:r w:rsidRPr="00E20662">
              <w:rPr>
                <w:rFonts w:ascii="Calibri" w:hAnsi="Calibri" w:cs="Calibri"/>
                <w:sz w:val="19"/>
                <w:szCs w:val="19"/>
                <w:u w:val="single"/>
                <w:lang w:eastAsia="pl-PL"/>
              </w:rPr>
              <w:t xml:space="preserve">Liczniki montowane przez </w:t>
            </w:r>
            <w:r w:rsidR="003144BC" w:rsidRPr="00E20662">
              <w:rPr>
                <w:rFonts w:ascii="Calibri" w:hAnsi="Calibri" w:cs="Calibri"/>
                <w:sz w:val="19"/>
                <w:szCs w:val="19"/>
                <w:u w:val="single"/>
                <w:lang w:eastAsia="pl-PL"/>
              </w:rPr>
              <w:t>dostawcę np. PGE</w:t>
            </w:r>
            <w:r w:rsidRPr="00E20662">
              <w:rPr>
                <w:rFonts w:ascii="Calibri" w:hAnsi="Calibri" w:cs="Calibri"/>
                <w:sz w:val="19"/>
                <w:szCs w:val="19"/>
                <w:u w:val="single"/>
                <w:lang w:eastAsia="pl-PL"/>
              </w:rPr>
              <w:t>, po podpisaniu umowy na dostawę energii elektrycznej przez właściciela lokalu.</w:t>
            </w:r>
          </w:p>
          <w:p w:rsidR="002E7B01" w:rsidRPr="00E20662" w:rsidRDefault="002E7B01" w:rsidP="002E7B01">
            <w:pPr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bCs/>
                <w:sz w:val="19"/>
                <w:szCs w:val="19"/>
                <w:lang w:eastAsia="pl-PL"/>
              </w:rPr>
              <w:t>Instalacja wod-kan.</w:t>
            </w:r>
          </w:p>
          <w:p w:rsidR="002E7B01" w:rsidRPr="00E20662" w:rsidRDefault="002E7B01" w:rsidP="002E7B01">
            <w:pPr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Instalacja ciepłej i zimnej wody prowadzona w posadzkach, szachtach lub bruzdach</w:t>
            </w:r>
            <w:r w:rsidR="00002B97"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, natynkowo.</w:t>
            </w: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 Instalacja kanalizacyjna z rur PCV prowadzona w posadzkach, szachtach lub bruzdach. Nie obejmuje białego montażu. Liczniki indywidualne na każde mieszkanie zamontowane na komunikacji ogólnodostępnej.</w:t>
            </w:r>
          </w:p>
          <w:p w:rsidR="002E7B01" w:rsidRPr="00E20662" w:rsidRDefault="002E7B01" w:rsidP="002E7B01">
            <w:pPr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bCs/>
                <w:sz w:val="19"/>
                <w:szCs w:val="19"/>
                <w:lang w:eastAsia="pl-PL"/>
              </w:rPr>
              <w:t>Instalacja c.o.</w:t>
            </w:r>
          </w:p>
          <w:p w:rsidR="002E7B01" w:rsidRPr="00E20662" w:rsidRDefault="002E7B01" w:rsidP="002E7B01">
            <w:pPr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Rurociągi c.o. prowadzone w warstwach podłogowych z dolnym podłączeniem grzejników. Grzejniki stalowe, płytowe z zaworami termoregulacyjnymi. </w:t>
            </w:r>
          </w:p>
          <w:p w:rsidR="00EE47F6" w:rsidRPr="00E20662" w:rsidRDefault="00EE47F6" w:rsidP="002E7B01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  <w:lang w:eastAsia="pl-PL"/>
              </w:rPr>
              <w:t>Instalacja gazowa</w:t>
            </w:r>
          </w:p>
          <w:p w:rsidR="00EE47F6" w:rsidRPr="00E20662" w:rsidRDefault="00EE47F6" w:rsidP="002E7B01">
            <w:pPr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Piec dwufunkcyjny gazowy </w:t>
            </w:r>
            <w:r w:rsidR="009F5FEE"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z zamkniętą komorą</w:t>
            </w:r>
            <w:r w:rsidR="00206A44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 spalania montowane w mieszkaniach. </w:t>
            </w:r>
            <w:r w:rsidR="009F5FEE"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Liczniki indywidualne na każde mieszkanie zamontowane na komunikacji ogólnodostępnej.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b/>
                <w:bCs/>
                <w:sz w:val="19"/>
                <w:szCs w:val="19"/>
                <w:lang w:eastAsia="pl-PL"/>
              </w:rPr>
              <w:t>Instalacja telewizyjna, telefoniczna i internetowa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W każdym lokalu skrzynka teletechniczna (TV, tel., internet). Punkty bez osprzętu. Usytuowanie zgodnie z projektem.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b/>
                <w:bCs/>
                <w:sz w:val="19"/>
                <w:szCs w:val="19"/>
                <w:lang w:eastAsia="pl-PL"/>
              </w:rPr>
              <w:t>Instalacja domofonowa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  <w:lang w:eastAsia="pl-PL"/>
              </w:rPr>
              <w:t>Jedno połączenie domofonowe lokalu mieszkalnego – przystosowane do wideodomofonu.</w:t>
            </w:r>
          </w:p>
          <w:p w:rsidR="002E7B01" w:rsidRPr="00E20662" w:rsidRDefault="002E7B01" w:rsidP="002E7B0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b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b/>
                <w:sz w:val="19"/>
                <w:szCs w:val="19"/>
                <w:lang w:eastAsia="pl-PL"/>
              </w:rPr>
              <w:t>Instalacja wentylacji</w:t>
            </w:r>
          </w:p>
          <w:p w:rsidR="002E7B01" w:rsidRPr="00E20662" w:rsidRDefault="002E7B01" w:rsidP="00206A44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E20662">
              <w:rPr>
                <w:rFonts w:ascii="Calibri" w:hAnsi="Calibri" w:cs="Calibri"/>
                <w:sz w:val="19"/>
                <w:szCs w:val="19"/>
              </w:rPr>
              <w:t xml:space="preserve">Instalacja </w:t>
            </w:r>
            <w:r w:rsidR="00206A44">
              <w:rPr>
                <w:rFonts w:ascii="Calibri" w:hAnsi="Calibri" w:cs="Calibri"/>
                <w:sz w:val="19"/>
                <w:szCs w:val="19"/>
              </w:rPr>
              <w:t>hybrydowa, wspomagana mechanicznie.</w:t>
            </w:r>
            <w:r w:rsidRPr="00E20662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</w:tc>
      </w:tr>
      <w:tr w:rsidR="00E20662" w:rsidRPr="00E20662" w:rsidTr="002E7B01">
        <w:trPr>
          <w:gridBefore w:val="1"/>
          <w:wBefore w:w="107" w:type="dxa"/>
          <w:trHeight w:hRule="exact" w:val="632"/>
        </w:trPr>
        <w:tc>
          <w:tcPr>
            <w:tcW w:w="5307" w:type="dxa"/>
            <w:gridSpan w:val="3"/>
            <w:vAlign w:val="bottom"/>
          </w:tcPr>
          <w:p w:rsidR="002E7B01" w:rsidRPr="00E20662" w:rsidRDefault="002E7B01" w:rsidP="002E7B01">
            <w:pPr>
              <w:spacing w:after="0" w:line="240" w:lineRule="auto"/>
              <w:ind w:left="-57" w:right="-57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4500" w:type="dxa"/>
            <w:gridSpan w:val="5"/>
            <w:vAlign w:val="bottom"/>
          </w:tcPr>
          <w:p w:rsidR="002E7B01" w:rsidRPr="00E20662" w:rsidRDefault="002E7B01" w:rsidP="002E7B01">
            <w:pPr>
              <w:spacing w:after="0" w:line="240" w:lineRule="auto"/>
              <w:ind w:left="-57" w:right="-57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E20662">
              <w:rPr>
                <w:rFonts w:ascii="Calibri" w:hAnsi="Calibri" w:cs="Calibri"/>
                <w:b/>
                <w:bCs/>
                <w:sz w:val="19"/>
                <w:szCs w:val="19"/>
              </w:rPr>
              <w:t>Podpis dewelopera albo osoby uprawnionej do</w:t>
            </w:r>
            <w:r w:rsidRPr="00E20662">
              <w:rPr>
                <w:rFonts w:ascii="Calibri" w:hAnsi="Calibri" w:cs="Calibri"/>
                <w:b/>
                <w:bCs/>
                <w:sz w:val="19"/>
                <w:szCs w:val="19"/>
              </w:rPr>
              <w:br/>
              <w:t>jego reprezentacji oraz pieczęć firmowa</w:t>
            </w:r>
          </w:p>
        </w:tc>
        <w:tc>
          <w:tcPr>
            <w:tcW w:w="234" w:type="dxa"/>
            <w:gridSpan w:val="2"/>
            <w:vAlign w:val="bottom"/>
          </w:tcPr>
          <w:p w:rsidR="002E7B01" w:rsidRPr="00E20662" w:rsidRDefault="002E7B01" w:rsidP="002E7B01">
            <w:pPr>
              <w:spacing w:after="0" w:line="240" w:lineRule="auto"/>
              <w:ind w:left="-57" w:right="-57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</w:tr>
      <w:tr w:rsidR="00E20662" w:rsidRPr="00E20662" w:rsidTr="002E7B01">
        <w:trPr>
          <w:gridBefore w:val="1"/>
          <w:gridAfter w:val="1"/>
          <w:wBefore w:w="107" w:type="dxa"/>
          <w:wAfter w:w="148" w:type="dxa"/>
          <w:trHeight w:hRule="exact" w:val="531"/>
        </w:trPr>
        <w:tc>
          <w:tcPr>
            <w:tcW w:w="5707" w:type="dxa"/>
            <w:gridSpan w:val="5"/>
            <w:vAlign w:val="bottom"/>
          </w:tcPr>
          <w:p w:rsidR="002E7B01" w:rsidRPr="00E20662" w:rsidRDefault="002E7B01" w:rsidP="002E7B01">
            <w:pPr>
              <w:spacing w:after="0" w:line="240" w:lineRule="auto"/>
              <w:ind w:left="-57" w:right="-57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3700" w:type="dxa"/>
            <w:tcBorders>
              <w:bottom w:val="dotted" w:sz="12" w:space="0" w:color="auto"/>
            </w:tcBorders>
            <w:vAlign w:val="bottom"/>
          </w:tcPr>
          <w:p w:rsidR="002E7B01" w:rsidRPr="00E20662" w:rsidRDefault="002E7B01" w:rsidP="002E7B01">
            <w:pPr>
              <w:spacing w:after="0" w:line="240" w:lineRule="auto"/>
              <w:ind w:left="-57" w:right="-57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486" w:type="dxa"/>
            <w:gridSpan w:val="3"/>
            <w:vAlign w:val="bottom"/>
          </w:tcPr>
          <w:p w:rsidR="002E7B01" w:rsidRPr="00E20662" w:rsidRDefault="002E7B01" w:rsidP="002E7B01">
            <w:pPr>
              <w:spacing w:after="0" w:line="240" w:lineRule="auto"/>
              <w:ind w:left="-57" w:right="-57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</w:tr>
    </w:tbl>
    <w:p w:rsidR="002E7B01" w:rsidRPr="00E20662" w:rsidRDefault="002E7B01" w:rsidP="002E7B01">
      <w:pPr>
        <w:autoSpaceDE w:val="0"/>
        <w:autoSpaceDN w:val="0"/>
        <w:adjustRightInd w:val="0"/>
        <w:spacing w:after="0" w:line="240" w:lineRule="auto"/>
        <w:ind w:left="-102"/>
        <w:jc w:val="both"/>
        <w:rPr>
          <w:rFonts w:ascii="Calibri" w:hAnsi="Calibri" w:cs="Calibri"/>
          <w:bCs/>
          <w:sz w:val="19"/>
          <w:szCs w:val="19"/>
        </w:rPr>
      </w:pPr>
    </w:p>
    <w:p w:rsidR="002E7B01" w:rsidRPr="00E20662" w:rsidRDefault="002E7B01" w:rsidP="002E7B01">
      <w:pPr>
        <w:autoSpaceDE w:val="0"/>
        <w:autoSpaceDN w:val="0"/>
        <w:adjustRightInd w:val="0"/>
        <w:spacing w:after="0" w:line="240" w:lineRule="auto"/>
        <w:ind w:left="-102"/>
        <w:jc w:val="both"/>
        <w:rPr>
          <w:rFonts w:ascii="Calibri" w:hAnsi="Calibri" w:cs="Calibri"/>
          <w:bCs/>
          <w:sz w:val="19"/>
          <w:szCs w:val="19"/>
        </w:rPr>
      </w:pPr>
    </w:p>
    <w:p w:rsidR="002E7B01" w:rsidRPr="00E20662" w:rsidRDefault="002E7B01" w:rsidP="002E7B01">
      <w:pPr>
        <w:autoSpaceDE w:val="0"/>
        <w:autoSpaceDN w:val="0"/>
        <w:adjustRightInd w:val="0"/>
        <w:spacing w:after="0" w:line="240" w:lineRule="auto"/>
        <w:ind w:left="-102"/>
        <w:jc w:val="both"/>
        <w:rPr>
          <w:rFonts w:ascii="Calibri" w:hAnsi="Calibri" w:cs="Calibri"/>
          <w:bCs/>
          <w:sz w:val="19"/>
          <w:szCs w:val="19"/>
        </w:rPr>
      </w:pPr>
    </w:p>
    <w:p w:rsidR="002E7B01" w:rsidRPr="00E20662" w:rsidRDefault="002E7B01" w:rsidP="002E7B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19"/>
          <w:szCs w:val="19"/>
        </w:rPr>
      </w:pPr>
      <w:r w:rsidRPr="00E20662">
        <w:rPr>
          <w:rFonts w:ascii="Calibri" w:hAnsi="Calibri" w:cs="Calibri"/>
          <w:b/>
          <w:bCs/>
          <w:sz w:val="19"/>
          <w:szCs w:val="19"/>
        </w:rPr>
        <w:t>Załączniki:</w:t>
      </w:r>
    </w:p>
    <w:p w:rsidR="002E7B01" w:rsidRPr="00E20662" w:rsidRDefault="002E7B01" w:rsidP="002E7B01">
      <w:pPr>
        <w:autoSpaceDE w:val="0"/>
        <w:autoSpaceDN w:val="0"/>
        <w:adjustRightInd w:val="0"/>
        <w:spacing w:after="0" w:line="240" w:lineRule="auto"/>
        <w:ind w:left="126" w:hanging="228"/>
        <w:jc w:val="both"/>
        <w:rPr>
          <w:rFonts w:ascii="Calibri" w:hAnsi="Calibri" w:cs="Calibri"/>
          <w:sz w:val="19"/>
          <w:szCs w:val="19"/>
        </w:rPr>
      </w:pPr>
      <w:r w:rsidRPr="00E20662">
        <w:rPr>
          <w:rFonts w:ascii="Calibri" w:hAnsi="Calibri" w:cs="Calibri"/>
          <w:sz w:val="19"/>
          <w:szCs w:val="19"/>
        </w:rPr>
        <w:t>1.</w:t>
      </w:r>
      <w:r w:rsidRPr="00E20662">
        <w:rPr>
          <w:rFonts w:ascii="Calibri" w:hAnsi="Calibri" w:cs="Calibri"/>
          <w:sz w:val="19"/>
          <w:szCs w:val="19"/>
        </w:rPr>
        <w:tab/>
        <w:t>Rzut kondygnacji z zaznaczeniem lokalu mieszkalnego.</w:t>
      </w:r>
    </w:p>
    <w:p w:rsidR="002E7B01" w:rsidRPr="00E20662" w:rsidRDefault="002E7B01" w:rsidP="002E7B01">
      <w:pPr>
        <w:spacing w:after="0" w:line="240" w:lineRule="auto"/>
        <w:ind w:left="126" w:hanging="228"/>
        <w:jc w:val="both"/>
        <w:rPr>
          <w:rFonts w:ascii="Calibri" w:hAnsi="Calibri" w:cs="Calibri"/>
          <w:sz w:val="19"/>
          <w:szCs w:val="19"/>
        </w:rPr>
      </w:pPr>
      <w:r w:rsidRPr="00E20662">
        <w:rPr>
          <w:rFonts w:ascii="Calibri" w:hAnsi="Calibri" w:cs="Calibri"/>
          <w:sz w:val="19"/>
          <w:szCs w:val="19"/>
        </w:rPr>
        <w:t>2.</w:t>
      </w:r>
      <w:r w:rsidRPr="00E20662">
        <w:rPr>
          <w:rFonts w:ascii="Calibri" w:hAnsi="Calibri" w:cs="Calibri"/>
          <w:sz w:val="19"/>
          <w:szCs w:val="19"/>
        </w:rPr>
        <w:tab/>
        <w:t>Wzór umowy deweloperskiej.</w:t>
      </w:r>
    </w:p>
    <w:p w:rsidR="002E7B01" w:rsidRPr="00E20662" w:rsidRDefault="002E7B01" w:rsidP="002E7B01"/>
    <w:p w:rsidR="00DC0BAD" w:rsidRPr="00E20662" w:rsidRDefault="00DC0BAD" w:rsidP="00D902CA">
      <w:pPr>
        <w:spacing w:after="0" w:line="240" w:lineRule="auto"/>
        <w:ind w:left="126" w:hanging="228"/>
        <w:jc w:val="both"/>
        <w:rPr>
          <w:rFonts w:ascii="Calibri" w:hAnsi="Calibri" w:cs="Calibri"/>
          <w:sz w:val="19"/>
          <w:szCs w:val="19"/>
        </w:rPr>
      </w:pPr>
    </w:p>
    <w:sectPr w:rsidR="00DC0BAD" w:rsidRPr="00E20662" w:rsidSect="003B1070">
      <w:footerReference w:type="default" r:id="rId9"/>
      <w:pgSz w:w="11906" w:h="16838"/>
      <w:pgMar w:top="1021" w:right="1077" w:bottom="1021" w:left="107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298" w:rsidRDefault="00181298" w:rsidP="007674AE">
      <w:pPr>
        <w:spacing w:after="0" w:line="240" w:lineRule="auto"/>
      </w:pPr>
      <w:r>
        <w:separator/>
      </w:r>
    </w:p>
  </w:endnote>
  <w:endnote w:type="continuationSeparator" w:id="0">
    <w:p w:rsidR="00181298" w:rsidRDefault="00181298" w:rsidP="0076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altName w:val="Nyal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070" w:rsidRPr="00D902CA" w:rsidRDefault="003B1070" w:rsidP="00D902CA">
    <w:pPr>
      <w:pStyle w:val="Footer"/>
      <w:jc w:val="center"/>
      <w:rPr>
        <w:sz w:val="16"/>
        <w:szCs w:val="16"/>
      </w:rPr>
    </w:pPr>
    <w:r w:rsidRPr="00D902CA">
      <w:rPr>
        <w:sz w:val="16"/>
        <w:szCs w:val="16"/>
      </w:rPr>
      <w:fldChar w:fldCharType="begin"/>
    </w:r>
    <w:r w:rsidRPr="00D902CA">
      <w:rPr>
        <w:sz w:val="16"/>
        <w:szCs w:val="16"/>
      </w:rPr>
      <w:instrText>PAGE   \* MERGEFORMAT</w:instrText>
    </w:r>
    <w:r w:rsidRPr="00D902CA">
      <w:rPr>
        <w:sz w:val="16"/>
        <w:szCs w:val="16"/>
      </w:rPr>
      <w:fldChar w:fldCharType="separate"/>
    </w:r>
    <w:r w:rsidR="000C128E">
      <w:rPr>
        <w:noProof/>
        <w:sz w:val="16"/>
        <w:szCs w:val="16"/>
      </w:rPr>
      <w:t>1</w:t>
    </w:r>
    <w:r w:rsidRPr="00D902C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298" w:rsidRDefault="00181298" w:rsidP="007674AE">
      <w:pPr>
        <w:spacing w:after="0" w:line="240" w:lineRule="auto"/>
      </w:pPr>
      <w:r>
        <w:separator/>
      </w:r>
    </w:p>
  </w:footnote>
  <w:footnote w:type="continuationSeparator" w:id="0">
    <w:p w:rsidR="00181298" w:rsidRDefault="00181298" w:rsidP="00767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8D7"/>
    <w:multiLevelType w:val="hybridMultilevel"/>
    <w:tmpl w:val="FFFFFFFF"/>
    <w:lvl w:ilvl="0" w:tplc="AAAABC0E">
      <w:start w:val="1"/>
      <w:numFmt w:val="lowerLetter"/>
      <w:lvlText w:val="%1)"/>
      <w:lvlJc w:val="left"/>
      <w:pPr>
        <w:ind w:left="720" w:hanging="360"/>
      </w:pPr>
      <w:rPr>
        <w:rFonts w:ascii="Garamond" w:hAnsi="Garamond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AF0368"/>
    <w:multiLevelType w:val="hybridMultilevel"/>
    <w:tmpl w:val="FFFFFFFF"/>
    <w:lvl w:ilvl="0" w:tplc="BD94724E">
      <w:start w:val="1"/>
      <w:numFmt w:val="decimal"/>
      <w:lvlText w:val="%1)"/>
      <w:lvlJc w:val="left"/>
      <w:pPr>
        <w:ind w:left="720" w:hanging="360"/>
      </w:pPr>
      <w:rPr>
        <w:rFonts w:ascii="Garamond" w:hAnsi="Garamond" w:cs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AC27B5A">
      <w:start w:val="1"/>
      <w:numFmt w:val="decimal"/>
      <w:lvlText w:val="%4."/>
      <w:lvlJc w:val="left"/>
      <w:pPr>
        <w:ind w:left="2880" w:hanging="360"/>
      </w:pPr>
      <w:rPr>
        <w:rFonts w:ascii="Garamond" w:hAnsi="Garamond" w:cs="Garamond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1153DC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27953E7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BA4C6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F13FD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74927"/>
    <w:multiLevelType w:val="hybridMultilevel"/>
    <w:tmpl w:val="FFFFFFFF"/>
    <w:lvl w:ilvl="0" w:tplc="A36A824E">
      <w:start w:val="1"/>
      <w:numFmt w:val="upperRoman"/>
      <w:lvlText w:val="%1."/>
      <w:lvlJc w:val="left"/>
      <w:pPr>
        <w:ind w:left="1440" w:hanging="10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871FA0"/>
    <w:multiLevelType w:val="hybridMultilevel"/>
    <w:tmpl w:val="FFFFFFFF"/>
    <w:lvl w:ilvl="0" w:tplc="C9345238">
      <w:start w:val="1"/>
      <w:numFmt w:val="decimal"/>
      <w:lvlText w:val="%1."/>
      <w:lvlJc w:val="left"/>
      <w:pPr>
        <w:ind w:left="720" w:hanging="360"/>
      </w:pPr>
      <w:rPr>
        <w:rFonts w:ascii="Garamond" w:hAnsi="Garamond" w:cs="Garamond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6D5"/>
    <w:rsid w:val="000005A9"/>
    <w:rsid w:val="00002B97"/>
    <w:rsid w:val="00004962"/>
    <w:rsid w:val="00021822"/>
    <w:rsid w:val="00027099"/>
    <w:rsid w:val="000334F7"/>
    <w:rsid w:val="00051608"/>
    <w:rsid w:val="000665D8"/>
    <w:rsid w:val="0007072D"/>
    <w:rsid w:val="000838EC"/>
    <w:rsid w:val="00094935"/>
    <w:rsid w:val="000A483C"/>
    <w:rsid w:val="000C128E"/>
    <w:rsid w:val="000C2F76"/>
    <w:rsid w:val="000D53C1"/>
    <w:rsid w:val="000D71C4"/>
    <w:rsid w:val="000D76DE"/>
    <w:rsid w:val="000E2C7C"/>
    <w:rsid w:val="000F7233"/>
    <w:rsid w:val="00105980"/>
    <w:rsid w:val="00120071"/>
    <w:rsid w:val="0012209C"/>
    <w:rsid w:val="00124E66"/>
    <w:rsid w:val="001251AE"/>
    <w:rsid w:val="00137BDB"/>
    <w:rsid w:val="00144F90"/>
    <w:rsid w:val="00157C0A"/>
    <w:rsid w:val="00162941"/>
    <w:rsid w:val="00173365"/>
    <w:rsid w:val="00181298"/>
    <w:rsid w:val="001839A3"/>
    <w:rsid w:val="00186C8D"/>
    <w:rsid w:val="00197C87"/>
    <w:rsid w:val="00204E9F"/>
    <w:rsid w:val="0020558F"/>
    <w:rsid w:val="00205808"/>
    <w:rsid w:val="00206A44"/>
    <w:rsid w:val="00230C91"/>
    <w:rsid w:val="00233D13"/>
    <w:rsid w:val="00247E81"/>
    <w:rsid w:val="00251A22"/>
    <w:rsid w:val="00264976"/>
    <w:rsid w:val="002651EA"/>
    <w:rsid w:val="00267170"/>
    <w:rsid w:val="00290FD8"/>
    <w:rsid w:val="00294CB9"/>
    <w:rsid w:val="002D4741"/>
    <w:rsid w:val="002E0475"/>
    <w:rsid w:val="002E1787"/>
    <w:rsid w:val="002E7B01"/>
    <w:rsid w:val="00303638"/>
    <w:rsid w:val="003051D8"/>
    <w:rsid w:val="003144BC"/>
    <w:rsid w:val="00323CC6"/>
    <w:rsid w:val="00330029"/>
    <w:rsid w:val="003311C8"/>
    <w:rsid w:val="003331A9"/>
    <w:rsid w:val="003332DF"/>
    <w:rsid w:val="00360811"/>
    <w:rsid w:val="00372A46"/>
    <w:rsid w:val="00381D5B"/>
    <w:rsid w:val="00383B32"/>
    <w:rsid w:val="003A7A2D"/>
    <w:rsid w:val="003B1070"/>
    <w:rsid w:val="003B3118"/>
    <w:rsid w:val="003D1C1C"/>
    <w:rsid w:val="003D6C26"/>
    <w:rsid w:val="003D71E2"/>
    <w:rsid w:val="003F2088"/>
    <w:rsid w:val="003F3E0E"/>
    <w:rsid w:val="003F6C1E"/>
    <w:rsid w:val="00414576"/>
    <w:rsid w:val="00424E12"/>
    <w:rsid w:val="004254C6"/>
    <w:rsid w:val="00443217"/>
    <w:rsid w:val="0044601E"/>
    <w:rsid w:val="004626E4"/>
    <w:rsid w:val="00476BFD"/>
    <w:rsid w:val="00492B98"/>
    <w:rsid w:val="004A0FF7"/>
    <w:rsid w:val="004A3B6A"/>
    <w:rsid w:val="004C26C8"/>
    <w:rsid w:val="004E2810"/>
    <w:rsid w:val="004E78A8"/>
    <w:rsid w:val="004E797C"/>
    <w:rsid w:val="004E7D50"/>
    <w:rsid w:val="004F6454"/>
    <w:rsid w:val="004F7D92"/>
    <w:rsid w:val="00501DB3"/>
    <w:rsid w:val="00524DC3"/>
    <w:rsid w:val="005468D4"/>
    <w:rsid w:val="005502E0"/>
    <w:rsid w:val="00553E5B"/>
    <w:rsid w:val="0055403E"/>
    <w:rsid w:val="005638C9"/>
    <w:rsid w:val="00580D25"/>
    <w:rsid w:val="00585122"/>
    <w:rsid w:val="0059000B"/>
    <w:rsid w:val="005A1A6F"/>
    <w:rsid w:val="005D2033"/>
    <w:rsid w:val="00605466"/>
    <w:rsid w:val="006140B5"/>
    <w:rsid w:val="0061493A"/>
    <w:rsid w:val="00621514"/>
    <w:rsid w:val="00622E4D"/>
    <w:rsid w:val="006318FF"/>
    <w:rsid w:val="00650610"/>
    <w:rsid w:val="00652446"/>
    <w:rsid w:val="00654F4E"/>
    <w:rsid w:val="00656A6A"/>
    <w:rsid w:val="006617D5"/>
    <w:rsid w:val="00674F1E"/>
    <w:rsid w:val="00687270"/>
    <w:rsid w:val="006B6E89"/>
    <w:rsid w:val="006C014E"/>
    <w:rsid w:val="006C54BA"/>
    <w:rsid w:val="006C66C9"/>
    <w:rsid w:val="006F124C"/>
    <w:rsid w:val="006F1A8F"/>
    <w:rsid w:val="006F60B2"/>
    <w:rsid w:val="00716B47"/>
    <w:rsid w:val="00722871"/>
    <w:rsid w:val="00736B90"/>
    <w:rsid w:val="00740FCC"/>
    <w:rsid w:val="007533BA"/>
    <w:rsid w:val="007674AE"/>
    <w:rsid w:val="00784CB0"/>
    <w:rsid w:val="007A114B"/>
    <w:rsid w:val="007A46D9"/>
    <w:rsid w:val="007B2994"/>
    <w:rsid w:val="007D7FEB"/>
    <w:rsid w:val="007F275B"/>
    <w:rsid w:val="007F51DA"/>
    <w:rsid w:val="0080058D"/>
    <w:rsid w:val="00823BF6"/>
    <w:rsid w:val="008543AA"/>
    <w:rsid w:val="00855D48"/>
    <w:rsid w:val="008725E4"/>
    <w:rsid w:val="008760D2"/>
    <w:rsid w:val="00883125"/>
    <w:rsid w:val="00892411"/>
    <w:rsid w:val="008975F2"/>
    <w:rsid w:val="00897676"/>
    <w:rsid w:val="008C67DD"/>
    <w:rsid w:val="008D6958"/>
    <w:rsid w:val="008D765D"/>
    <w:rsid w:val="008E1289"/>
    <w:rsid w:val="008E1772"/>
    <w:rsid w:val="008F656E"/>
    <w:rsid w:val="00902FF5"/>
    <w:rsid w:val="0091667D"/>
    <w:rsid w:val="00916B1B"/>
    <w:rsid w:val="009274DE"/>
    <w:rsid w:val="0093155E"/>
    <w:rsid w:val="00946C44"/>
    <w:rsid w:val="00946E80"/>
    <w:rsid w:val="0095504D"/>
    <w:rsid w:val="009612FD"/>
    <w:rsid w:val="00966714"/>
    <w:rsid w:val="00967919"/>
    <w:rsid w:val="00992B24"/>
    <w:rsid w:val="009C0003"/>
    <w:rsid w:val="009E2121"/>
    <w:rsid w:val="009E302C"/>
    <w:rsid w:val="009E39D7"/>
    <w:rsid w:val="009F1975"/>
    <w:rsid w:val="009F19D9"/>
    <w:rsid w:val="009F35A4"/>
    <w:rsid w:val="009F5FEE"/>
    <w:rsid w:val="00A14AF6"/>
    <w:rsid w:val="00A2466A"/>
    <w:rsid w:val="00A30A76"/>
    <w:rsid w:val="00A50374"/>
    <w:rsid w:val="00A53D6B"/>
    <w:rsid w:val="00A54EC2"/>
    <w:rsid w:val="00A578DC"/>
    <w:rsid w:val="00A6084D"/>
    <w:rsid w:val="00A61F0A"/>
    <w:rsid w:val="00A716FF"/>
    <w:rsid w:val="00A72C54"/>
    <w:rsid w:val="00A75374"/>
    <w:rsid w:val="00A819E1"/>
    <w:rsid w:val="00A83552"/>
    <w:rsid w:val="00A83C62"/>
    <w:rsid w:val="00A93398"/>
    <w:rsid w:val="00A954E4"/>
    <w:rsid w:val="00A979D3"/>
    <w:rsid w:val="00AB06D8"/>
    <w:rsid w:val="00AB27F9"/>
    <w:rsid w:val="00AB5C50"/>
    <w:rsid w:val="00AC70CB"/>
    <w:rsid w:val="00AD2666"/>
    <w:rsid w:val="00AE7AC4"/>
    <w:rsid w:val="00B205C9"/>
    <w:rsid w:val="00B220D4"/>
    <w:rsid w:val="00B43A10"/>
    <w:rsid w:val="00B501DB"/>
    <w:rsid w:val="00B53B85"/>
    <w:rsid w:val="00B64953"/>
    <w:rsid w:val="00B72E26"/>
    <w:rsid w:val="00B75FE5"/>
    <w:rsid w:val="00BA7A93"/>
    <w:rsid w:val="00BE62EF"/>
    <w:rsid w:val="00BF0E4B"/>
    <w:rsid w:val="00BF109A"/>
    <w:rsid w:val="00BF1D3C"/>
    <w:rsid w:val="00C0501A"/>
    <w:rsid w:val="00C10717"/>
    <w:rsid w:val="00C21F69"/>
    <w:rsid w:val="00C72535"/>
    <w:rsid w:val="00CA4EFF"/>
    <w:rsid w:val="00CA5DDF"/>
    <w:rsid w:val="00CA709D"/>
    <w:rsid w:val="00CB4443"/>
    <w:rsid w:val="00CC5B49"/>
    <w:rsid w:val="00CD7034"/>
    <w:rsid w:val="00CE14E6"/>
    <w:rsid w:val="00CF60CF"/>
    <w:rsid w:val="00CF6659"/>
    <w:rsid w:val="00D05D45"/>
    <w:rsid w:val="00D06583"/>
    <w:rsid w:val="00D076AA"/>
    <w:rsid w:val="00D15401"/>
    <w:rsid w:val="00D24F0B"/>
    <w:rsid w:val="00D44C13"/>
    <w:rsid w:val="00D52C06"/>
    <w:rsid w:val="00D56F86"/>
    <w:rsid w:val="00D84FDC"/>
    <w:rsid w:val="00D902CA"/>
    <w:rsid w:val="00DB1423"/>
    <w:rsid w:val="00DB66D5"/>
    <w:rsid w:val="00DB7019"/>
    <w:rsid w:val="00DC0BAD"/>
    <w:rsid w:val="00DD560C"/>
    <w:rsid w:val="00DD6003"/>
    <w:rsid w:val="00DE495D"/>
    <w:rsid w:val="00DE6678"/>
    <w:rsid w:val="00DF773B"/>
    <w:rsid w:val="00E04B12"/>
    <w:rsid w:val="00E07C35"/>
    <w:rsid w:val="00E20662"/>
    <w:rsid w:val="00E24C50"/>
    <w:rsid w:val="00E34C29"/>
    <w:rsid w:val="00E40F53"/>
    <w:rsid w:val="00E54DBE"/>
    <w:rsid w:val="00E71AAF"/>
    <w:rsid w:val="00E832D9"/>
    <w:rsid w:val="00E9070B"/>
    <w:rsid w:val="00E92EB2"/>
    <w:rsid w:val="00EA5FBE"/>
    <w:rsid w:val="00EE32AD"/>
    <w:rsid w:val="00EE47F6"/>
    <w:rsid w:val="00F20DC2"/>
    <w:rsid w:val="00F2590E"/>
    <w:rsid w:val="00F32B5B"/>
    <w:rsid w:val="00F40335"/>
    <w:rsid w:val="00F4735A"/>
    <w:rsid w:val="00F701D4"/>
    <w:rsid w:val="00F77A51"/>
    <w:rsid w:val="00F93449"/>
    <w:rsid w:val="00F95292"/>
    <w:rsid w:val="00FA043E"/>
    <w:rsid w:val="00FB2D55"/>
    <w:rsid w:val="00FB2E56"/>
    <w:rsid w:val="00FB5FFD"/>
    <w:rsid w:val="00FD1B60"/>
    <w:rsid w:val="00FE21F5"/>
    <w:rsid w:val="00FE32D6"/>
    <w:rsid w:val="00FE5BD3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69A8714-C99F-4657-A208-05848738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6D5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66D5"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66D5"/>
    <w:rPr>
      <w:rFonts w:cs="Times New Roman"/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66D5"/>
    <w:rPr>
      <w:rFonts w:cs="Times New Roman"/>
    </w:rPr>
  </w:style>
  <w:style w:type="table" w:styleId="TableGrid">
    <w:name w:val="Table Grid"/>
    <w:basedOn w:val="TableNormal"/>
    <w:uiPriority w:val="39"/>
    <w:rsid w:val="00DB66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6D5"/>
    <w:pPr>
      <w:ind w:left="720"/>
      <w:contextualSpacing/>
    </w:pPr>
  </w:style>
  <w:style w:type="paragraph" w:customStyle="1" w:styleId="Default">
    <w:name w:val="Default"/>
    <w:rsid w:val="00DB66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7674AE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81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674AE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281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3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D0E93-0A27-468D-A42D-305846FF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2881</Words>
  <Characters>16425</Characters>
  <Application>Microsoft Office Word</Application>
  <DocSecurity>4</DocSecurity>
  <Lines>136</Lines>
  <Paragraphs>38</Paragraphs>
  <ScaleCrop>false</ScaleCrop>
  <Company/>
  <LinksUpToDate>false</LinksUpToDate>
  <CharactersWithSpaces>19268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Kasiaw</dc:creator>
  <cp:keywords/>
  <dc:description/>
  <cp:lastModifiedBy>word</cp:lastModifiedBy>
  <cp:revision>2</cp:revision>
  <cp:lastPrinted>2022-06-28T12:13:00Z</cp:lastPrinted>
  <dcterms:created xsi:type="dcterms:W3CDTF">2025-09-01T14:39:00Z</dcterms:created>
  <dcterms:modified xsi:type="dcterms:W3CDTF">2025-09-01T14:39:00Z</dcterms:modified>
</cp:coreProperties>
</file>